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9BE80" w14:textId="4FBE8815" w:rsidR="00D045E8" w:rsidRDefault="00D045E8" w:rsidP="00D045E8">
      <w:pPr>
        <w:pStyle w:val="CRCoverPage"/>
        <w:tabs>
          <w:tab w:val="right" w:pos="9639"/>
        </w:tabs>
        <w:spacing w:after="0"/>
        <w:rPr>
          <w:b/>
          <w:i/>
          <w:noProof/>
          <w:sz w:val="28"/>
        </w:rPr>
      </w:pPr>
      <w:r>
        <w:rPr>
          <w:b/>
          <w:noProof/>
          <w:sz w:val="24"/>
        </w:rPr>
        <w:t>3GPP TSG-SA5 Meeting #158</w:t>
      </w:r>
      <w:r>
        <w:rPr>
          <w:b/>
          <w:i/>
          <w:noProof/>
          <w:sz w:val="28"/>
        </w:rPr>
        <w:tab/>
        <w:t>S5-</w:t>
      </w:r>
      <w:r w:rsidR="000C604A" w:rsidRPr="000C604A">
        <w:rPr>
          <w:b/>
          <w:i/>
          <w:noProof/>
          <w:sz w:val="28"/>
        </w:rPr>
        <w:t>246823</w:t>
      </w:r>
    </w:p>
    <w:p w14:paraId="51DE008D" w14:textId="77777777" w:rsidR="00D045E8" w:rsidRPr="00DA53A0" w:rsidRDefault="00D045E8" w:rsidP="00D045E8">
      <w:pPr>
        <w:pStyle w:val="Header"/>
        <w:rPr>
          <w:sz w:val="22"/>
          <w:szCs w:val="22"/>
        </w:rPr>
      </w:pPr>
      <w:r>
        <w:rPr>
          <w:sz w:val="24"/>
        </w:rPr>
        <w:t>Orlando, USA, 18 - 22 November 2024</w:t>
      </w:r>
    </w:p>
    <w:p w14:paraId="4CC80913" w14:textId="77777777" w:rsidR="00D045E8" w:rsidRPr="00FB3E36" w:rsidRDefault="00D045E8" w:rsidP="00D045E8">
      <w:pPr>
        <w:keepNext/>
        <w:pBdr>
          <w:bottom w:val="single" w:sz="4" w:space="1" w:color="auto"/>
        </w:pBdr>
        <w:tabs>
          <w:tab w:val="right" w:pos="9639"/>
        </w:tabs>
        <w:outlineLvl w:val="0"/>
        <w:rPr>
          <w:rFonts w:ascii="Arial" w:hAnsi="Arial" w:cs="Arial"/>
          <w:b/>
          <w:bCs/>
          <w:sz w:val="24"/>
        </w:rPr>
      </w:pPr>
    </w:p>
    <w:p w14:paraId="221C21B3" w14:textId="06F8AA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p>
    <w:p w14:paraId="2C458A19" w14:textId="6A91BC3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41F98">
        <w:rPr>
          <w:rFonts w:ascii="Arial" w:hAnsi="Arial" w:cs="Arial"/>
          <w:b/>
        </w:rPr>
        <w:t xml:space="preserve">Event </w:t>
      </w:r>
      <w:r w:rsidR="00032F0F">
        <w:rPr>
          <w:rFonts w:ascii="Arial" w:hAnsi="Arial" w:cs="Arial"/>
          <w:b/>
        </w:rPr>
        <w:t>based charging issues</w:t>
      </w:r>
    </w:p>
    <w:p w14:paraId="02CFB229" w14:textId="70A6F77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301E3" w:rsidRPr="00D301E3">
        <w:rPr>
          <w:rFonts w:ascii="Arial" w:hAnsi="Arial"/>
          <w:b/>
          <w:lang w:eastAsia="zh-CN"/>
        </w:rPr>
        <w:t>Discussion</w:t>
      </w:r>
    </w:p>
    <w:p w14:paraId="74F27089" w14:textId="15DDC2F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1E9A" w:rsidRPr="00881E9A">
        <w:rPr>
          <w:rFonts w:ascii="Arial" w:hAnsi="Arial"/>
          <w:b/>
        </w:rPr>
        <w:t>7.</w:t>
      </w:r>
      <w:r w:rsidR="00D301E3">
        <w:rPr>
          <w:rFonts w:ascii="Arial" w:hAnsi="Arial"/>
          <w:b/>
        </w:rPr>
        <w:t>3</w:t>
      </w:r>
    </w:p>
    <w:p w14:paraId="13D426F8" w14:textId="77777777" w:rsidR="00C022E3" w:rsidRDefault="00C022E3">
      <w:pPr>
        <w:pStyle w:val="Heading1"/>
      </w:pPr>
      <w:r>
        <w:t>1</w:t>
      </w:r>
      <w:r>
        <w:tab/>
        <w:t xml:space="preserve">Decision/action </w:t>
      </w:r>
      <w:proofErr w:type="gramStart"/>
      <w:r>
        <w:t>requested</w:t>
      </w:r>
      <w:proofErr w:type="gramEnd"/>
    </w:p>
    <w:p w14:paraId="4CE7B190" w14:textId="2D0266FD" w:rsidR="00C022E3" w:rsidRDefault="0022335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2335A">
        <w:rPr>
          <w:b/>
          <w:i/>
        </w:rPr>
        <w:t>The group is asked to discuss and agree a way forward.</w:t>
      </w:r>
    </w:p>
    <w:p w14:paraId="6F93C75D" w14:textId="77777777" w:rsidR="00C022E3" w:rsidRDefault="00C022E3">
      <w:pPr>
        <w:pStyle w:val="Heading1"/>
      </w:pPr>
      <w:r>
        <w:t>2</w:t>
      </w:r>
      <w:r>
        <w:tab/>
        <w:t>References</w:t>
      </w:r>
    </w:p>
    <w:p w14:paraId="42E85257" w14:textId="49B8902A" w:rsidR="00E036E7" w:rsidRDefault="00E036E7" w:rsidP="002374E8">
      <w:pPr>
        <w:tabs>
          <w:tab w:val="left" w:pos="851"/>
        </w:tabs>
        <w:ind w:left="851" w:hanging="851"/>
      </w:pPr>
      <w:r w:rsidRPr="00E036E7">
        <w:t>[1]</w:t>
      </w:r>
      <w:r w:rsidRPr="00E036E7">
        <w:tab/>
        <w:t xml:space="preserve">3GPP TS </w:t>
      </w:r>
      <w:r w:rsidR="002B274D">
        <w:t>32</w:t>
      </w:r>
      <w:r w:rsidRPr="00E036E7">
        <w:t>.</w:t>
      </w:r>
      <w:r w:rsidR="00F66C59">
        <w:t>290</w:t>
      </w:r>
      <w:r w:rsidRPr="00E036E7">
        <w:t xml:space="preserve"> </w:t>
      </w:r>
      <w:r w:rsidR="002374E8">
        <w:t>5G system; Services, operations and procedures of charging using Service Based Interface (SBI)</w:t>
      </w:r>
    </w:p>
    <w:p w14:paraId="0A99193C" w14:textId="77777777" w:rsidR="003E7281" w:rsidRDefault="003E7281" w:rsidP="003E7281">
      <w:pPr>
        <w:tabs>
          <w:tab w:val="left" w:pos="851"/>
        </w:tabs>
        <w:ind w:left="851" w:hanging="851"/>
      </w:pPr>
      <w:r>
        <w:t>[3]</w:t>
      </w:r>
      <w:r>
        <w:tab/>
        <w:t>3GPP TS 32.291 5G system, charging service; Stage 3</w:t>
      </w:r>
    </w:p>
    <w:p w14:paraId="72D5BB90" w14:textId="2E69D855" w:rsidR="003E7281" w:rsidRDefault="003E7281" w:rsidP="003E7281">
      <w:pPr>
        <w:tabs>
          <w:tab w:val="left" w:pos="851"/>
        </w:tabs>
        <w:ind w:left="851" w:hanging="851"/>
      </w:pPr>
      <w:r>
        <w:t>[4]</w:t>
      </w:r>
      <w:r>
        <w:tab/>
        <w:t>3GPP TS 32.298 Charging Data Record (CDR) parameter description3</w:t>
      </w:r>
    </w:p>
    <w:p w14:paraId="06118678" w14:textId="5E4F7570" w:rsidR="00103984" w:rsidRPr="00E036E7" w:rsidRDefault="00103984" w:rsidP="003E7281">
      <w:pPr>
        <w:tabs>
          <w:tab w:val="left" w:pos="851"/>
        </w:tabs>
        <w:ind w:left="851" w:hanging="851"/>
      </w:pPr>
      <w:r>
        <w:t xml:space="preserve">[5] </w:t>
      </w:r>
      <w:r>
        <w:tab/>
        <w:t xml:space="preserve">3GPP TS 32.299 </w:t>
      </w:r>
      <w:r w:rsidR="005706FE" w:rsidRPr="005706FE">
        <w:t xml:space="preserve">Diameter charging </w:t>
      </w:r>
      <w:proofErr w:type="gramStart"/>
      <w:r w:rsidR="005706FE" w:rsidRPr="005706FE">
        <w:t>applications</w:t>
      </w:r>
      <w:proofErr w:type="gramEnd"/>
    </w:p>
    <w:p w14:paraId="1DE85D9E" w14:textId="77777777" w:rsidR="00C022E3" w:rsidRDefault="00C022E3">
      <w:pPr>
        <w:pStyle w:val="Heading1"/>
      </w:pPr>
      <w:r>
        <w:t>3</w:t>
      </w:r>
      <w:r>
        <w:tab/>
        <w:t>Rationale</w:t>
      </w:r>
    </w:p>
    <w:p w14:paraId="5298B407" w14:textId="77777777" w:rsidR="00CF74E2" w:rsidRPr="00A5711A" w:rsidRDefault="00CF74E2" w:rsidP="00CF74E2">
      <w:pPr>
        <w:pStyle w:val="Heading2"/>
      </w:pPr>
      <w:r>
        <w:t>3.1</w:t>
      </w:r>
      <w:r>
        <w:tab/>
        <w:t>Background</w:t>
      </w:r>
    </w:p>
    <w:p w14:paraId="473F4FDA" w14:textId="1C7F8D04" w:rsidR="00CF74E2" w:rsidRDefault="00CF74E2" w:rsidP="00CF74E2">
      <w:pPr>
        <w:overflowPunct w:val="0"/>
        <w:autoSpaceDE w:val="0"/>
        <w:autoSpaceDN w:val="0"/>
        <w:adjustRightInd w:val="0"/>
        <w:textAlignment w:val="baseline"/>
        <w:rPr>
          <w:rFonts w:eastAsia="Times New Roman"/>
          <w:lang w:bidi="ar-IQ"/>
        </w:rPr>
      </w:pPr>
      <w:r>
        <w:rPr>
          <w:rFonts w:eastAsia="Times New Roman"/>
          <w:lang w:bidi="ar-IQ"/>
        </w:rPr>
        <w:t>There are currently th</w:t>
      </w:r>
      <w:r w:rsidR="00623F12">
        <w:rPr>
          <w:rFonts w:eastAsia="Times New Roman"/>
          <w:lang w:bidi="ar-IQ"/>
        </w:rPr>
        <w:t>r</w:t>
      </w:r>
      <w:r>
        <w:rPr>
          <w:rFonts w:eastAsia="Times New Roman"/>
          <w:lang w:bidi="ar-IQ"/>
        </w:rPr>
        <w:t xml:space="preserve">ee </w:t>
      </w:r>
      <w:r w:rsidR="0009787D">
        <w:rPr>
          <w:rFonts w:eastAsia="Times New Roman"/>
          <w:lang w:bidi="ar-IQ"/>
        </w:rPr>
        <w:t>cases</w:t>
      </w:r>
      <w:r>
        <w:rPr>
          <w:rFonts w:eastAsia="Times New Roman"/>
          <w:lang w:bidi="ar-IQ"/>
        </w:rPr>
        <w:t xml:space="preserve"> of charging</w:t>
      </w:r>
      <w:r w:rsidR="004914DC">
        <w:rPr>
          <w:rFonts w:eastAsia="Times New Roman"/>
          <w:lang w:bidi="ar-IQ"/>
        </w:rPr>
        <w:t xml:space="preserve"> </w:t>
      </w:r>
      <w:r w:rsidR="0000192B">
        <w:rPr>
          <w:rFonts w:eastAsia="Times New Roman"/>
          <w:lang w:bidi="ar-IQ"/>
        </w:rPr>
        <w:t xml:space="preserve">specified in TS 32.290 [1], </w:t>
      </w:r>
      <w:r w:rsidR="004914DC">
        <w:rPr>
          <w:rFonts w:eastAsia="Times New Roman"/>
          <w:lang w:bidi="ar-IQ"/>
        </w:rPr>
        <w:t xml:space="preserve">that can be used for service that are </w:t>
      </w:r>
      <w:r w:rsidR="00623F12">
        <w:rPr>
          <w:rFonts w:eastAsia="Times New Roman"/>
          <w:lang w:bidi="ar-IQ"/>
        </w:rPr>
        <w:t xml:space="preserve">of </w:t>
      </w:r>
      <w:r w:rsidR="004914DC">
        <w:rPr>
          <w:rFonts w:eastAsia="Times New Roman"/>
          <w:lang w:bidi="ar-IQ"/>
        </w:rPr>
        <w:t xml:space="preserve">event </w:t>
      </w:r>
      <w:r w:rsidR="00623F12">
        <w:rPr>
          <w:rFonts w:eastAsia="Times New Roman"/>
          <w:lang w:bidi="ar-IQ"/>
        </w:rPr>
        <w:t>type</w:t>
      </w:r>
      <w:r w:rsidR="004914DC">
        <w:rPr>
          <w:rFonts w:eastAsia="Times New Roman"/>
          <w:lang w:bidi="ar-IQ"/>
        </w:rPr>
        <w:t xml:space="preserve"> e.g., SMS, Exposure API invocation</w:t>
      </w:r>
      <w:r w:rsidRPr="009B72B7">
        <w:rPr>
          <w:rFonts w:eastAsia="Times New Roman"/>
          <w:lang w:bidi="ar-IQ"/>
        </w:rPr>
        <w:t>:</w:t>
      </w:r>
      <w:r w:rsidR="004914DC">
        <w:rPr>
          <w:rFonts w:eastAsia="Times New Roman"/>
          <w:lang w:bidi="ar-IQ"/>
        </w:rPr>
        <w:t xml:space="preserve"> </w:t>
      </w:r>
      <w:r w:rsidR="00FC602A" w:rsidRPr="00FC602A">
        <w:rPr>
          <w:rFonts w:eastAsia="Times New Roman"/>
          <w:lang w:bidi="ar-IQ"/>
        </w:rPr>
        <w:t xml:space="preserve">Immediate Event Charging </w:t>
      </w:r>
      <w:r w:rsidR="00FC602A">
        <w:rPr>
          <w:rFonts w:eastAsia="Times New Roman"/>
          <w:lang w:bidi="ar-IQ"/>
        </w:rPr>
        <w:t>(</w:t>
      </w:r>
      <w:r w:rsidR="004914DC">
        <w:rPr>
          <w:rFonts w:eastAsia="Times New Roman"/>
          <w:lang w:bidi="ar-IQ"/>
        </w:rPr>
        <w:t>IEC</w:t>
      </w:r>
      <w:r w:rsidR="00FC602A">
        <w:rPr>
          <w:rFonts w:eastAsia="Times New Roman"/>
          <w:lang w:bidi="ar-IQ"/>
        </w:rPr>
        <w:t>)</w:t>
      </w:r>
      <w:r w:rsidR="004914DC">
        <w:rPr>
          <w:rFonts w:eastAsia="Times New Roman"/>
          <w:lang w:bidi="ar-IQ"/>
        </w:rPr>
        <w:t xml:space="preserve">, </w:t>
      </w:r>
      <w:r w:rsidR="001F27CE" w:rsidRPr="001F27CE">
        <w:rPr>
          <w:rFonts w:eastAsia="Times New Roman"/>
          <w:lang w:bidi="ar-IQ"/>
        </w:rPr>
        <w:t xml:space="preserve">Post Event Charging </w:t>
      </w:r>
      <w:r w:rsidR="001F27CE">
        <w:rPr>
          <w:rFonts w:eastAsia="Times New Roman"/>
          <w:lang w:bidi="ar-IQ"/>
        </w:rPr>
        <w:t>(</w:t>
      </w:r>
      <w:r w:rsidR="004914DC">
        <w:rPr>
          <w:rFonts w:eastAsia="Times New Roman"/>
          <w:lang w:bidi="ar-IQ"/>
        </w:rPr>
        <w:t>PEC</w:t>
      </w:r>
      <w:r w:rsidR="001F27CE">
        <w:rPr>
          <w:rFonts w:eastAsia="Times New Roman"/>
          <w:lang w:bidi="ar-IQ"/>
        </w:rPr>
        <w:t>)</w:t>
      </w:r>
      <w:r w:rsidR="004914DC">
        <w:rPr>
          <w:rFonts w:eastAsia="Times New Roman"/>
          <w:lang w:bidi="ar-IQ"/>
        </w:rPr>
        <w:t xml:space="preserve"> and </w:t>
      </w:r>
      <w:r w:rsidR="00660146">
        <w:rPr>
          <w:rFonts w:eastAsia="Times New Roman"/>
          <w:lang w:bidi="ar-IQ"/>
        </w:rPr>
        <w:t>session based (</w:t>
      </w:r>
      <w:r w:rsidR="004914DC">
        <w:rPr>
          <w:rFonts w:eastAsia="Times New Roman"/>
          <w:lang w:bidi="ar-IQ"/>
        </w:rPr>
        <w:t>ECUR</w:t>
      </w:r>
      <w:r w:rsidR="00660146">
        <w:rPr>
          <w:rFonts w:eastAsia="Times New Roman"/>
          <w:lang w:bidi="ar-IQ"/>
        </w:rPr>
        <w:t>)</w:t>
      </w:r>
      <w:r w:rsidR="004914DC">
        <w:rPr>
          <w:rFonts w:eastAsia="Times New Roman"/>
          <w:lang w:bidi="ar-IQ"/>
        </w:rPr>
        <w:t>.</w:t>
      </w:r>
    </w:p>
    <w:p w14:paraId="3827EC78" w14:textId="6BCB3939" w:rsidR="00833A74" w:rsidRDefault="0021620F" w:rsidP="00CF74E2">
      <w:pPr>
        <w:overflowPunct w:val="0"/>
        <w:autoSpaceDE w:val="0"/>
        <w:autoSpaceDN w:val="0"/>
        <w:adjustRightInd w:val="0"/>
        <w:textAlignment w:val="baseline"/>
        <w:rPr>
          <w:rFonts w:eastAsia="Times New Roman"/>
          <w:lang w:bidi="ar-IQ"/>
        </w:rPr>
      </w:pPr>
      <w:r>
        <w:rPr>
          <w:rFonts w:eastAsia="Times New Roman"/>
          <w:lang w:bidi="ar-IQ"/>
        </w:rPr>
        <w:t xml:space="preserve">For IEC </w:t>
      </w:r>
      <w:r w:rsidR="0091206F" w:rsidRPr="0091206F">
        <w:rPr>
          <w:rFonts w:eastAsia="Times New Roman"/>
          <w:lang w:bidi="ar-IQ"/>
        </w:rPr>
        <w:t>the NF (CTF)</w:t>
      </w:r>
      <w:r w:rsidR="0091206F">
        <w:rPr>
          <w:rFonts w:eastAsia="Times New Roman"/>
          <w:lang w:bidi="ar-IQ"/>
        </w:rPr>
        <w:t xml:space="preserve"> </w:t>
      </w:r>
      <w:r w:rsidR="0091206F" w:rsidRPr="0091206F">
        <w:rPr>
          <w:rFonts w:eastAsia="Times New Roman"/>
          <w:lang w:bidi="ar-IQ"/>
        </w:rPr>
        <w:t xml:space="preserve">may invoke converged charging service towards the CHF, </w:t>
      </w:r>
      <w:r w:rsidR="00B40DF5">
        <w:rPr>
          <w:rFonts w:eastAsia="Times New Roman"/>
          <w:lang w:bidi="ar-IQ"/>
        </w:rPr>
        <w:t>before</w:t>
      </w:r>
      <w:r w:rsidR="0091206F" w:rsidRPr="0091206F">
        <w:rPr>
          <w:rFonts w:eastAsia="Times New Roman"/>
          <w:lang w:bidi="ar-IQ"/>
        </w:rPr>
        <w:t xml:space="preserve"> service delivery</w:t>
      </w:r>
      <w:r w:rsidR="0091206F">
        <w:rPr>
          <w:rFonts w:eastAsia="Times New Roman"/>
          <w:lang w:bidi="ar-IQ"/>
        </w:rPr>
        <w:t xml:space="preserve"> and may </w:t>
      </w:r>
      <w:r w:rsidR="0000192B">
        <w:rPr>
          <w:rFonts w:eastAsia="Times New Roman"/>
          <w:lang w:bidi="ar-IQ"/>
        </w:rPr>
        <w:t>deduct from the user’s account balance</w:t>
      </w:r>
      <w:r w:rsidR="00B40DF5">
        <w:rPr>
          <w:rFonts w:eastAsia="Times New Roman"/>
          <w:lang w:bidi="ar-IQ"/>
        </w:rPr>
        <w:t xml:space="preserve"> as well as CDR</w:t>
      </w:r>
      <w:r w:rsidR="00EA7A0E">
        <w:rPr>
          <w:rFonts w:eastAsia="Times New Roman"/>
          <w:lang w:bidi="ar-IQ"/>
        </w:rPr>
        <w:t xml:space="preserve"> generation</w:t>
      </w:r>
      <w:r w:rsidR="00EC380C">
        <w:rPr>
          <w:rFonts w:eastAsia="Times New Roman"/>
          <w:lang w:bidi="ar-IQ"/>
        </w:rPr>
        <w:t>.</w:t>
      </w:r>
    </w:p>
    <w:p w14:paraId="19167C58" w14:textId="66D15A89" w:rsidR="00C43156" w:rsidRDefault="00C43156" w:rsidP="00CF74E2">
      <w:pPr>
        <w:overflowPunct w:val="0"/>
        <w:autoSpaceDE w:val="0"/>
        <w:autoSpaceDN w:val="0"/>
        <w:adjustRightInd w:val="0"/>
        <w:textAlignment w:val="baseline"/>
        <w:rPr>
          <w:rFonts w:eastAsia="Times New Roman"/>
          <w:lang w:bidi="ar-IQ"/>
        </w:rPr>
      </w:pPr>
      <w:r>
        <w:rPr>
          <w:rFonts w:eastAsia="Times New Roman"/>
          <w:lang w:bidi="ar-IQ"/>
        </w:rPr>
        <w:t xml:space="preserve">For PEC the </w:t>
      </w:r>
      <w:r w:rsidR="004776C7" w:rsidRPr="004776C7">
        <w:rPr>
          <w:rFonts w:eastAsia="Times New Roman"/>
          <w:lang w:bidi="ar-IQ"/>
        </w:rPr>
        <w:t>NF (CTF) interacts with the CHF after the service delivery</w:t>
      </w:r>
      <w:r w:rsidR="004776C7">
        <w:rPr>
          <w:rFonts w:eastAsia="Times New Roman"/>
          <w:lang w:bidi="ar-IQ"/>
        </w:rPr>
        <w:t>, mainly for CDR generation</w:t>
      </w:r>
      <w:r w:rsidR="004776C7" w:rsidRPr="004776C7">
        <w:rPr>
          <w:rFonts w:eastAsia="Times New Roman"/>
          <w:lang w:bidi="ar-IQ"/>
        </w:rPr>
        <w:t>.</w:t>
      </w:r>
    </w:p>
    <w:p w14:paraId="5ED7672A" w14:textId="75EDAF3F" w:rsidR="004776C7" w:rsidRDefault="004776C7" w:rsidP="00CF74E2">
      <w:pPr>
        <w:overflowPunct w:val="0"/>
        <w:autoSpaceDE w:val="0"/>
        <w:autoSpaceDN w:val="0"/>
        <w:adjustRightInd w:val="0"/>
        <w:textAlignment w:val="baseline"/>
        <w:rPr>
          <w:rFonts w:eastAsia="Times New Roman"/>
          <w:lang w:bidi="ar-IQ"/>
        </w:rPr>
      </w:pPr>
      <w:r>
        <w:rPr>
          <w:rFonts w:eastAsia="Times New Roman"/>
          <w:lang w:bidi="ar-IQ"/>
        </w:rPr>
        <w:t>For ECUR the NF (</w:t>
      </w:r>
      <w:r w:rsidR="00D60894">
        <w:rPr>
          <w:rFonts w:eastAsia="Times New Roman"/>
          <w:lang w:bidi="ar-IQ"/>
        </w:rPr>
        <w:t xml:space="preserve">CTF) interact with the CHF </w:t>
      </w:r>
      <w:r w:rsidR="00F26FD6">
        <w:rPr>
          <w:rFonts w:eastAsia="Times New Roman"/>
          <w:lang w:bidi="ar-IQ"/>
        </w:rPr>
        <w:t xml:space="preserve">both </w:t>
      </w:r>
      <w:r w:rsidR="00D60894">
        <w:rPr>
          <w:rFonts w:eastAsia="Times New Roman"/>
          <w:lang w:bidi="ar-IQ"/>
        </w:rPr>
        <w:t>before service delivery</w:t>
      </w:r>
      <w:r w:rsidR="00B40DF5">
        <w:rPr>
          <w:rFonts w:eastAsia="Times New Roman"/>
          <w:lang w:bidi="ar-IQ"/>
        </w:rPr>
        <w:t xml:space="preserve"> </w:t>
      </w:r>
      <w:r w:rsidR="00F26FD6">
        <w:rPr>
          <w:rFonts w:eastAsia="Times New Roman"/>
          <w:lang w:bidi="ar-IQ"/>
        </w:rPr>
        <w:t xml:space="preserve">where it </w:t>
      </w:r>
      <w:r w:rsidR="00F06BD4">
        <w:rPr>
          <w:rFonts w:eastAsia="Times New Roman"/>
          <w:lang w:bidi="ar-IQ"/>
        </w:rPr>
        <w:t xml:space="preserve">may </w:t>
      </w:r>
      <w:r w:rsidR="00C37097">
        <w:rPr>
          <w:rFonts w:eastAsia="Times New Roman"/>
          <w:lang w:bidi="ar-IQ"/>
        </w:rPr>
        <w:t xml:space="preserve">make a </w:t>
      </w:r>
      <w:r w:rsidR="00EA7A0E">
        <w:rPr>
          <w:rFonts w:eastAsia="Times New Roman"/>
          <w:lang w:bidi="ar-IQ"/>
        </w:rPr>
        <w:t xml:space="preserve">reservation on </w:t>
      </w:r>
      <w:r w:rsidR="00C37097">
        <w:rPr>
          <w:rFonts w:eastAsia="Times New Roman"/>
          <w:lang w:bidi="ar-IQ"/>
        </w:rPr>
        <w:t xml:space="preserve">the </w:t>
      </w:r>
      <w:r w:rsidR="00EA7A0E">
        <w:rPr>
          <w:rFonts w:eastAsia="Times New Roman"/>
          <w:lang w:bidi="ar-IQ"/>
        </w:rPr>
        <w:t xml:space="preserve">user’s </w:t>
      </w:r>
      <w:r w:rsidR="00C37097">
        <w:rPr>
          <w:rFonts w:eastAsia="Times New Roman"/>
          <w:lang w:bidi="ar-IQ"/>
        </w:rPr>
        <w:t>account balance</w:t>
      </w:r>
      <w:r w:rsidR="00F26FD6">
        <w:rPr>
          <w:rFonts w:eastAsia="Times New Roman"/>
          <w:lang w:bidi="ar-IQ"/>
        </w:rPr>
        <w:t xml:space="preserve">, and after service delivery </w:t>
      </w:r>
      <w:r w:rsidR="00F06BD4">
        <w:rPr>
          <w:rFonts w:eastAsia="Times New Roman"/>
          <w:lang w:bidi="ar-IQ"/>
        </w:rPr>
        <w:t>where it may make a deduct from the user’s account.</w:t>
      </w:r>
      <w:r w:rsidR="00675D79">
        <w:rPr>
          <w:rFonts w:eastAsia="Times New Roman"/>
          <w:lang w:bidi="ar-IQ"/>
        </w:rPr>
        <w:t xml:space="preserve"> Both before and after a CRD may be created or </w:t>
      </w:r>
      <w:r w:rsidR="009E4341">
        <w:rPr>
          <w:rFonts w:eastAsia="Times New Roman"/>
          <w:lang w:bidi="ar-IQ"/>
        </w:rPr>
        <w:t>it may be opened before and closed after.</w:t>
      </w:r>
    </w:p>
    <w:p w14:paraId="00E4D049" w14:textId="77777777" w:rsidR="00833A74" w:rsidRDefault="00833A74" w:rsidP="00833A74">
      <w:pPr>
        <w:pStyle w:val="Heading2"/>
      </w:pPr>
      <w:r>
        <w:t>3.1</w:t>
      </w:r>
      <w:r>
        <w:tab/>
        <w:t>Evaluation</w:t>
      </w:r>
    </w:p>
    <w:p w14:paraId="66B10BF3" w14:textId="76952770" w:rsidR="009E4341" w:rsidRDefault="009E4341" w:rsidP="009E4341">
      <w:r>
        <w:t xml:space="preserve">There are </w:t>
      </w:r>
      <w:r w:rsidR="00283BA1">
        <w:t xml:space="preserve">advantages and disadvantages with </w:t>
      </w:r>
      <w:r w:rsidR="00F91D79">
        <w:t>all</w:t>
      </w:r>
      <w:r w:rsidR="00283BA1">
        <w:t xml:space="preserve"> the charging scenarios.</w:t>
      </w:r>
    </w:p>
    <w:p w14:paraId="235E7318" w14:textId="73738026" w:rsidR="00283BA1" w:rsidRDefault="00283BA1" w:rsidP="009E4341">
      <w:r>
        <w:t xml:space="preserve">The IEC gives the CHF a possibility of checking and deducting from the account </w:t>
      </w:r>
      <w:r w:rsidR="007B526D">
        <w:t xml:space="preserve">balance </w:t>
      </w:r>
      <w:r>
        <w:t xml:space="preserve">before the service is </w:t>
      </w:r>
      <w:r w:rsidR="007B526D">
        <w:t>delivered</w:t>
      </w:r>
      <w:r w:rsidR="00CD1A8D">
        <w:t xml:space="preserve">, but it cannot be certain that the service will be delivered even if the CHF have </w:t>
      </w:r>
      <w:r w:rsidR="00CA2007">
        <w:t>authorized the service.</w:t>
      </w:r>
      <w:r w:rsidR="00BA634C">
        <w:t xml:space="preserve"> In some </w:t>
      </w:r>
      <w:r w:rsidR="008B307E">
        <w:t>cases,</w:t>
      </w:r>
      <w:r w:rsidR="00BA634C">
        <w:t xml:space="preserve"> this is what is wanted, </w:t>
      </w:r>
      <w:r w:rsidR="00CC791E">
        <w:t>e.g.</w:t>
      </w:r>
      <w:r w:rsidR="00BA634C">
        <w:t xml:space="preserve"> </w:t>
      </w:r>
      <w:r w:rsidR="00CC791E">
        <w:t xml:space="preserve">the cost may be per </w:t>
      </w:r>
      <w:r w:rsidR="008B307E">
        <w:t>submission</w:t>
      </w:r>
      <w:r w:rsidR="00CC791E">
        <w:t xml:space="preserve"> and not per successfully deliver</w:t>
      </w:r>
      <w:r w:rsidR="008B307E">
        <w:t>y</w:t>
      </w:r>
      <w:r w:rsidR="00CC791E">
        <w:t>.</w:t>
      </w:r>
    </w:p>
    <w:p w14:paraId="356D9AD2" w14:textId="4E6AAE24" w:rsidR="00CA2007" w:rsidRDefault="00CA2007" w:rsidP="009E4341">
      <w:r>
        <w:t xml:space="preserve">The PEC give the CHF </w:t>
      </w:r>
      <w:r w:rsidR="002E60AD">
        <w:t xml:space="preserve">knowledge of service delivery success or failures, but it </w:t>
      </w:r>
      <w:r w:rsidR="007B526D">
        <w:t>cannot</w:t>
      </w:r>
      <w:r w:rsidR="002E60AD">
        <w:t xml:space="preserve"> to </w:t>
      </w:r>
      <w:r w:rsidR="007B526D">
        <w:t>check if the account balance can be deducted or not.</w:t>
      </w:r>
    </w:p>
    <w:p w14:paraId="4C656B3B" w14:textId="46DBC643" w:rsidR="007B526D" w:rsidRPr="009E4341" w:rsidRDefault="007B526D" w:rsidP="009E4341">
      <w:r>
        <w:t xml:space="preserve">The ECUR gives the CHF </w:t>
      </w:r>
      <w:r w:rsidR="004D1D86">
        <w:t xml:space="preserve">both the possibility of checking the account balance before the delivery as well as knowledge of </w:t>
      </w:r>
      <w:r w:rsidR="001D247F">
        <w:t>service delivery success or failure before deducting from the account balance.</w:t>
      </w:r>
      <w:r w:rsidR="005B4319">
        <w:t xml:space="preserve"> The main disadvantage of ECUR</w:t>
      </w:r>
      <w:r w:rsidR="00D04DCA">
        <w:t xml:space="preserve"> is</w:t>
      </w:r>
      <w:r w:rsidR="005E6942">
        <w:t>,</w:t>
      </w:r>
      <w:r w:rsidR="005B4319">
        <w:t xml:space="preserve"> </w:t>
      </w:r>
      <w:r w:rsidR="00756179">
        <w:t xml:space="preserve">if there is a long time between the </w:t>
      </w:r>
      <w:r w:rsidR="00520AF4">
        <w:t>request of service delivery and the actual service delivery</w:t>
      </w:r>
      <w:r w:rsidR="00D04DCA">
        <w:t>,</w:t>
      </w:r>
      <w:r w:rsidR="005B4319">
        <w:t xml:space="preserve"> the </w:t>
      </w:r>
      <w:r w:rsidR="002D69EA">
        <w:t xml:space="preserve">possible </w:t>
      </w:r>
      <w:r w:rsidR="005B4319">
        <w:t xml:space="preserve">resource </w:t>
      </w:r>
      <w:r w:rsidR="002D69EA">
        <w:t xml:space="preserve">allocation </w:t>
      </w:r>
      <w:r w:rsidR="00D04DCA">
        <w:t xml:space="preserve">for the session that is being held in the CHF </w:t>
      </w:r>
      <w:r w:rsidR="00756179">
        <w:t>over a long period</w:t>
      </w:r>
      <w:r w:rsidR="002D69EA">
        <w:t>.</w:t>
      </w:r>
    </w:p>
    <w:p w14:paraId="459D8228" w14:textId="77777777" w:rsidR="00C022E3" w:rsidRDefault="00C022E3">
      <w:pPr>
        <w:pStyle w:val="Heading1"/>
      </w:pPr>
      <w:r>
        <w:lastRenderedPageBreak/>
        <w:t>4</w:t>
      </w:r>
      <w:r>
        <w:tab/>
        <w:t xml:space="preserve">Detailed </w:t>
      </w:r>
      <w:proofErr w:type="gramStart"/>
      <w:r>
        <w:t>proposal</w:t>
      </w:r>
      <w:proofErr w:type="gramEnd"/>
    </w:p>
    <w:p w14:paraId="39C26282" w14:textId="7B11F0B9" w:rsidR="00B27EC4" w:rsidRPr="00A5711A" w:rsidRDefault="00852A0A" w:rsidP="00B27EC4">
      <w:pPr>
        <w:pStyle w:val="Heading2"/>
      </w:pPr>
      <w:r>
        <w:t>4</w:t>
      </w:r>
      <w:r w:rsidR="00B27EC4">
        <w:t>.1</w:t>
      </w:r>
      <w:r w:rsidR="00B27EC4">
        <w:tab/>
        <w:t>General</w:t>
      </w:r>
    </w:p>
    <w:p w14:paraId="2232CC3A" w14:textId="2A01057A" w:rsidR="00D50B6A" w:rsidRDefault="00B27EC4">
      <w:pPr>
        <w:rPr>
          <w:iCs/>
        </w:rPr>
      </w:pPr>
      <w:r>
        <w:rPr>
          <w:iCs/>
        </w:rPr>
        <w:t xml:space="preserve">There are at least two ways of </w:t>
      </w:r>
      <w:r w:rsidR="00852A0A">
        <w:rPr>
          <w:iCs/>
        </w:rPr>
        <w:t>solving the issues</w:t>
      </w:r>
      <w:r w:rsidR="00F456F3">
        <w:rPr>
          <w:iCs/>
        </w:rPr>
        <w:t>:</w:t>
      </w:r>
      <w:r w:rsidR="00852A0A">
        <w:rPr>
          <w:iCs/>
        </w:rPr>
        <w:t xml:space="preserve"> </w:t>
      </w:r>
      <w:r w:rsidR="000659A8">
        <w:rPr>
          <w:iCs/>
        </w:rPr>
        <w:t xml:space="preserve">reuse the </w:t>
      </w:r>
      <w:r w:rsidR="00222278">
        <w:rPr>
          <w:iCs/>
        </w:rPr>
        <w:t xml:space="preserve">refund mechanism specified in TS 32.299 [5] for Diameter, </w:t>
      </w:r>
      <w:r w:rsidR="00852A0A">
        <w:rPr>
          <w:iCs/>
        </w:rPr>
        <w:t>allow both IEC and PEC for the same event.</w:t>
      </w:r>
      <w:r w:rsidR="0029594A">
        <w:rPr>
          <w:iCs/>
        </w:rPr>
        <w:t xml:space="preserve"> The main difference between these </w:t>
      </w:r>
      <w:r w:rsidR="00E771F4">
        <w:rPr>
          <w:iCs/>
        </w:rPr>
        <w:t>is</w:t>
      </w:r>
      <w:r w:rsidR="0029594A">
        <w:rPr>
          <w:iCs/>
        </w:rPr>
        <w:t xml:space="preserve"> </w:t>
      </w:r>
      <w:r w:rsidR="00B075F0">
        <w:rPr>
          <w:iCs/>
        </w:rPr>
        <w:t xml:space="preserve">that the refund </w:t>
      </w:r>
      <w:r w:rsidR="0043042C">
        <w:rPr>
          <w:iCs/>
        </w:rPr>
        <w:t>assumes service delivery</w:t>
      </w:r>
      <w:r w:rsidR="00E24DF5">
        <w:rPr>
          <w:iCs/>
        </w:rPr>
        <w:t xml:space="preserve"> success</w:t>
      </w:r>
      <w:r w:rsidR="00E771F4">
        <w:rPr>
          <w:iCs/>
        </w:rPr>
        <w:t xml:space="preserve"> if no IEC with “</w:t>
      </w:r>
      <w:r w:rsidR="00E771F4" w:rsidRPr="0094282A">
        <w:rPr>
          <w:iCs/>
        </w:rPr>
        <w:t>Refund</w:t>
      </w:r>
      <w:r w:rsidR="00E771F4">
        <w:rPr>
          <w:iCs/>
        </w:rPr>
        <w:t xml:space="preserve"> </w:t>
      </w:r>
      <w:r w:rsidR="00E771F4" w:rsidRPr="0094282A">
        <w:rPr>
          <w:iCs/>
        </w:rPr>
        <w:t>Information</w:t>
      </w:r>
      <w:r w:rsidR="00E771F4">
        <w:rPr>
          <w:iCs/>
        </w:rPr>
        <w:t>”</w:t>
      </w:r>
      <w:r w:rsidR="00D659CC">
        <w:rPr>
          <w:iCs/>
        </w:rPr>
        <w:t xml:space="preserve"> is received</w:t>
      </w:r>
      <w:r w:rsidR="00E771F4">
        <w:rPr>
          <w:iCs/>
        </w:rPr>
        <w:t xml:space="preserve">, while the </w:t>
      </w:r>
      <w:r w:rsidR="00E24DF5">
        <w:rPr>
          <w:iCs/>
        </w:rPr>
        <w:t>IEC and PEC assumes service delivery failed if no PEC is received.</w:t>
      </w:r>
    </w:p>
    <w:p w14:paraId="145A152E" w14:textId="7DB7B38C" w:rsidR="00852A0A" w:rsidRPr="00A5711A" w:rsidRDefault="00852A0A" w:rsidP="00852A0A">
      <w:pPr>
        <w:pStyle w:val="Heading2"/>
      </w:pPr>
      <w:r>
        <w:t>4.2</w:t>
      </w:r>
      <w:r>
        <w:tab/>
      </w:r>
      <w:r w:rsidR="005C3F28">
        <w:t xml:space="preserve">Solution based on </w:t>
      </w:r>
      <w:proofErr w:type="gramStart"/>
      <w:r w:rsidR="005C3F28">
        <w:t>r</w:t>
      </w:r>
      <w:r>
        <w:t>efund</w:t>
      </w:r>
      <w:proofErr w:type="gramEnd"/>
    </w:p>
    <w:p w14:paraId="1923A7E3" w14:textId="2A5682C6" w:rsidR="00852A0A" w:rsidRDefault="005C3F28">
      <w:pPr>
        <w:rPr>
          <w:iCs/>
        </w:rPr>
      </w:pPr>
      <w:r>
        <w:rPr>
          <w:iCs/>
        </w:rPr>
        <w:t xml:space="preserve">In TS 32.299 [5] there is an additional </w:t>
      </w:r>
      <w:r w:rsidR="008E7FB0">
        <w:rPr>
          <w:iCs/>
        </w:rPr>
        <w:t xml:space="preserve">AVP sent from the </w:t>
      </w:r>
      <w:r w:rsidR="00143B41">
        <w:rPr>
          <w:iCs/>
        </w:rPr>
        <w:t>OCS</w:t>
      </w:r>
      <w:r w:rsidR="0094282A">
        <w:rPr>
          <w:iCs/>
        </w:rPr>
        <w:t>., t</w:t>
      </w:r>
      <w:r w:rsidR="0094282A" w:rsidRPr="0094282A">
        <w:rPr>
          <w:iCs/>
        </w:rPr>
        <w:t>he Refund-Information AVP and it conveys relevant information for the OCS application relative to refund mechanism. When refund mechanism is implemented in the OCS this AVP may be included in the CCA of the previous IEC. This AVP shall be used by the CTF in case of a refund scenario and thus shall be included in the CCR for refund if previously received in CCA for IEC.</w:t>
      </w:r>
    </w:p>
    <w:p w14:paraId="618BCDE5" w14:textId="5ECFC40F" w:rsidR="0094282A" w:rsidRDefault="0094282A">
      <w:pPr>
        <w:rPr>
          <w:iCs/>
        </w:rPr>
      </w:pPr>
      <w:r>
        <w:rPr>
          <w:iCs/>
        </w:rPr>
        <w:t>This could be re</w:t>
      </w:r>
      <w:r w:rsidR="000C441F">
        <w:rPr>
          <w:iCs/>
        </w:rPr>
        <w:t xml:space="preserve">used for also the IEC in </w:t>
      </w:r>
      <w:r w:rsidR="00AB0D18">
        <w:rPr>
          <w:iCs/>
        </w:rPr>
        <w:t xml:space="preserve">converged charging, </w:t>
      </w:r>
      <w:r w:rsidR="003017C0">
        <w:rPr>
          <w:iCs/>
        </w:rPr>
        <w:t>by</w:t>
      </w:r>
      <w:r w:rsidR="00AB0D18">
        <w:rPr>
          <w:iCs/>
        </w:rPr>
        <w:t xml:space="preserve"> introduc</w:t>
      </w:r>
      <w:r w:rsidR="003017C0">
        <w:rPr>
          <w:iCs/>
        </w:rPr>
        <w:t>ing</w:t>
      </w:r>
      <w:r w:rsidR="00AB0D18">
        <w:rPr>
          <w:iCs/>
        </w:rPr>
        <w:t xml:space="preserve"> a new information</w:t>
      </w:r>
      <w:r w:rsidR="003017C0">
        <w:rPr>
          <w:iCs/>
        </w:rPr>
        <w:t xml:space="preserve"> element in TS 32.290 [1] clause 7</w:t>
      </w:r>
      <w:r w:rsidR="00707D0B">
        <w:rPr>
          <w:iCs/>
        </w:rPr>
        <w:t xml:space="preserve"> “</w:t>
      </w:r>
      <w:r w:rsidR="00707D0B" w:rsidRPr="0094282A">
        <w:rPr>
          <w:iCs/>
        </w:rPr>
        <w:t>Refund</w:t>
      </w:r>
      <w:r w:rsidR="00707D0B">
        <w:rPr>
          <w:iCs/>
        </w:rPr>
        <w:t xml:space="preserve"> </w:t>
      </w:r>
      <w:r w:rsidR="00707D0B" w:rsidRPr="0094282A">
        <w:rPr>
          <w:iCs/>
        </w:rPr>
        <w:t>Information</w:t>
      </w:r>
      <w:r w:rsidR="00707D0B">
        <w:rPr>
          <w:iCs/>
        </w:rPr>
        <w:t xml:space="preserve">” and in </w:t>
      </w:r>
      <w:r w:rsidR="00275E38">
        <w:rPr>
          <w:iCs/>
        </w:rPr>
        <w:t xml:space="preserve">TS 32.291 [2] </w:t>
      </w:r>
      <w:r w:rsidR="00ED73BD">
        <w:rPr>
          <w:iCs/>
        </w:rPr>
        <w:t>clause 6.1.6.2.1.1 a new attribute name “</w:t>
      </w:r>
      <w:proofErr w:type="spellStart"/>
      <w:r w:rsidR="00BB77DA">
        <w:rPr>
          <w:iCs/>
        </w:rPr>
        <w:t>r</w:t>
      </w:r>
      <w:r w:rsidR="00ED73BD" w:rsidRPr="0094282A">
        <w:rPr>
          <w:iCs/>
        </w:rPr>
        <w:t>efundInformation</w:t>
      </w:r>
      <w:proofErr w:type="spellEnd"/>
      <w:r w:rsidR="00BB77DA">
        <w:rPr>
          <w:iCs/>
        </w:rPr>
        <w:t>” of type string.</w:t>
      </w:r>
    </w:p>
    <w:p w14:paraId="68BB415E" w14:textId="2D52D1EE" w:rsidR="00C0743B" w:rsidRDefault="00FD14A7">
      <w:r>
        <w:t xml:space="preserve">The main issue with this solution is that if </w:t>
      </w:r>
      <w:r w:rsidR="00C9137B">
        <w:t>a</w:t>
      </w:r>
      <w:r w:rsidR="00F456F3">
        <w:t>n</w:t>
      </w:r>
      <w:r w:rsidR="00C9137B">
        <w:t xml:space="preserve"> IEC </w:t>
      </w:r>
      <w:r w:rsidR="00F456F3">
        <w:t xml:space="preserve">with a </w:t>
      </w:r>
      <w:r w:rsidR="005837D3">
        <w:t xml:space="preserve">“Refund Information” </w:t>
      </w:r>
      <w:r w:rsidR="00C9137B">
        <w:t>isn’t received by the CHF</w:t>
      </w:r>
      <w:r w:rsidR="00E26201">
        <w:t>, then</w:t>
      </w:r>
      <w:r w:rsidR="00C9137B">
        <w:t xml:space="preserve"> the CHF assumes that the service deliv</w:t>
      </w:r>
      <w:r w:rsidR="00F456F3">
        <w:t>ery is successful</w:t>
      </w:r>
      <w:r w:rsidR="00D35754">
        <w:t xml:space="preserve">. This means that the </w:t>
      </w:r>
      <w:r w:rsidR="005837D3">
        <w:t>CTF</w:t>
      </w:r>
      <w:r w:rsidR="00CC375C">
        <w:t xml:space="preserve"> </w:t>
      </w:r>
      <w:r w:rsidR="00D35754">
        <w:t xml:space="preserve">cannot </w:t>
      </w:r>
      <w:r w:rsidR="003F336B">
        <w:t>lose</w:t>
      </w:r>
      <w:r w:rsidR="00CC375C">
        <w:t xml:space="preserve"> </w:t>
      </w:r>
      <w:r w:rsidR="003F336B">
        <w:t xml:space="preserve">the </w:t>
      </w:r>
      <w:r w:rsidR="00D35754">
        <w:t>“Refund Information”</w:t>
      </w:r>
      <w:r w:rsidR="003F336B">
        <w:t xml:space="preserve"> received until it </w:t>
      </w:r>
      <w:r w:rsidR="000A6356">
        <w:t>has</w:t>
      </w:r>
      <w:r w:rsidR="003F336B">
        <w:t xml:space="preserve"> received an acknowledgement of a successful service de</w:t>
      </w:r>
      <w:r w:rsidR="0093053F">
        <w:t>livery</w:t>
      </w:r>
      <w:r w:rsidR="000A6356">
        <w:t xml:space="preserve">, </w:t>
      </w:r>
      <w:r w:rsidR="00546981">
        <w:t>since otherwise it may result in charging for undelivered services</w:t>
      </w:r>
      <w:r w:rsidR="0036060A">
        <w:t>.</w:t>
      </w:r>
    </w:p>
    <w:p w14:paraId="0F2B012D" w14:textId="256BEF26" w:rsidR="00C0743B" w:rsidRDefault="00CD46D5">
      <w:pPr>
        <w:rPr>
          <w:iCs/>
        </w:rPr>
      </w:pPr>
      <w:r>
        <w:rPr>
          <w:iCs/>
        </w:rPr>
        <w:t xml:space="preserve">There is also no way for the CHF to know </w:t>
      </w:r>
      <w:r w:rsidR="00FE0A18">
        <w:rPr>
          <w:iCs/>
        </w:rPr>
        <w:t xml:space="preserve">the </w:t>
      </w:r>
      <w:proofErr w:type="gramStart"/>
      <w:r w:rsidR="00FE0A18">
        <w:rPr>
          <w:iCs/>
        </w:rPr>
        <w:t>time period</w:t>
      </w:r>
      <w:proofErr w:type="gramEnd"/>
      <w:r w:rsidR="00FE0A18">
        <w:rPr>
          <w:iCs/>
        </w:rPr>
        <w:t xml:space="preserve"> when a</w:t>
      </w:r>
      <w:r w:rsidR="00C0743B">
        <w:rPr>
          <w:iCs/>
        </w:rPr>
        <w:t>n</w:t>
      </w:r>
      <w:r w:rsidR="00FE0A18">
        <w:rPr>
          <w:iCs/>
        </w:rPr>
        <w:t xml:space="preserve"> </w:t>
      </w:r>
      <w:r w:rsidR="003070A4">
        <w:rPr>
          <w:iCs/>
        </w:rPr>
        <w:t>IEC with a “</w:t>
      </w:r>
      <w:r w:rsidR="003070A4" w:rsidRPr="0094282A">
        <w:rPr>
          <w:iCs/>
        </w:rPr>
        <w:t>Refund</w:t>
      </w:r>
      <w:r w:rsidR="003070A4">
        <w:rPr>
          <w:iCs/>
        </w:rPr>
        <w:t xml:space="preserve"> </w:t>
      </w:r>
      <w:r w:rsidR="003070A4" w:rsidRPr="0094282A">
        <w:rPr>
          <w:iCs/>
        </w:rPr>
        <w:t>Information</w:t>
      </w:r>
      <w:r w:rsidR="003070A4">
        <w:rPr>
          <w:iCs/>
        </w:rPr>
        <w:t xml:space="preserve">” can </w:t>
      </w:r>
      <w:r w:rsidR="00FE0A18">
        <w:rPr>
          <w:iCs/>
        </w:rPr>
        <w:t>be expected</w:t>
      </w:r>
      <w:r w:rsidR="00A74CA1">
        <w:rPr>
          <w:iCs/>
        </w:rPr>
        <w:t xml:space="preserve">, i.e. how long before the CHF can consider the </w:t>
      </w:r>
      <w:r w:rsidR="00512B6F">
        <w:rPr>
          <w:iCs/>
        </w:rPr>
        <w:t>service delivered.</w:t>
      </w:r>
      <w:r w:rsidR="00C0743B">
        <w:rPr>
          <w:iCs/>
        </w:rPr>
        <w:t xml:space="preserve"> This could be solved by allowing </w:t>
      </w:r>
      <w:r w:rsidR="00260810">
        <w:rPr>
          <w:iCs/>
        </w:rPr>
        <w:t>the</w:t>
      </w:r>
      <w:r w:rsidR="00256CFD">
        <w:rPr>
          <w:iCs/>
        </w:rPr>
        <w:t xml:space="preserve"> CHF to set a </w:t>
      </w:r>
      <w:r w:rsidR="00260810">
        <w:rPr>
          <w:iCs/>
        </w:rPr>
        <w:t>validity of the “</w:t>
      </w:r>
      <w:r w:rsidR="00260810" w:rsidRPr="0094282A">
        <w:rPr>
          <w:iCs/>
        </w:rPr>
        <w:t>Refund</w:t>
      </w:r>
      <w:r w:rsidR="00260810">
        <w:rPr>
          <w:iCs/>
        </w:rPr>
        <w:t xml:space="preserve"> </w:t>
      </w:r>
      <w:r w:rsidR="00260810" w:rsidRPr="0094282A">
        <w:rPr>
          <w:iCs/>
        </w:rPr>
        <w:t>Information</w:t>
      </w:r>
      <w:r w:rsidR="00260810">
        <w:rPr>
          <w:iCs/>
        </w:rPr>
        <w:t>”</w:t>
      </w:r>
      <w:r w:rsidR="00F36A3F">
        <w:rPr>
          <w:iCs/>
        </w:rPr>
        <w:t xml:space="preserve">, but this requires the CHF to know how long a service delivery can take or </w:t>
      </w:r>
      <w:r w:rsidR="00F21C75">
        <w:rPr>
          <w:iCs/>
        </w:rPr>
        <w:t>setting it to the maximum of all services.</w:t>
      </w:r>
    </w:p>
    <w:p w14:paraId="060DCBA1" w14:textId="704E883F" w:rsidR="004B540C" w:rsidRPr="00A5711A" w:rsidRDefault="004B540C" w:rsidP="004B540C">
      <w:pPr>
        <w:pStyle w:val="Heading2"/>
      </w:pPr>
      <w:r>
        <w:t>4.3</w:t>
      </w:r>
      <w:r>
        <w:tab/>
        <w:t>Solution based on IEC and PEC</w:t>
      </w:r>
    </w:p>
    <w:p w14:paraId="07F28F31" w14:textId="25B77F8B" w:rsidR="004B540C" w:rsidRDefault="00DB5A94">
      <w:pPr>
        <w:rPr>
          <w:iCs/>
        </w:rPr>
      </w:pPr>
      <w:r>
        <w:rPr>
          <w:iCs/>
        </w:rPr>
        <w:t xml:space="preserve">In TS 32.290 [1] these is nothing that wouldn’t allow an CTF to send both an IEC and a PEC for the same event, i.e. the IEC before the </w:t>
      </w:r>
      <w:r w:rsidR="002D29BB">
        <w:rPr>
          <w:iCs/>
        </w:rPr>
        <w:t>service delivery</w:t>
      </w:r>
      <w:r>
        <w:rPr>
          <w:iCs/>
        </w:rPr>
        <w:t xml:space="preserve"> and the PEC after the </w:t>
      </w:r>
      <w:r w:rsidR="002D29BB">
        <w:rPr>
          <w:iCs/>
        </w:rPr>
        <w:t>service delivery.</w:t>
      </w:r>
    </w:p>
    <w:p w14:paraId="1E4DE772" w14:textId="427A0DBD" w:rsidR="00E4423D" w:rsidRDefault="00E4423D">
      <w:pPr>
        <w:rPr>
          <w:iCs/>
        </w:rPr>
      </w:pPr>
      <w:r>
        <w:rPr>
          <w:iCs/>
        </w:rPr>
        <w:t>This would however require some type of correlation possibilities between the IEC and PEC</w:t>
      </w:r>
      <w:r w:rsidR="00D952AE">
        <w:rPr>
          <w:iCs/>
        </w:rPr>
        <w:t xml:space="preserve">, but introducing a correlation identifier will again require </w:t>
      </w:r>
      <w:r w:rsidR="00F60305">
        <w:rPr>
          <w:iCs/>
        </w:rPr>
        <w:t xml:space="preserve">the CTF </w:t>
      </w:r>
      <w:r w:rsidR="00FA5DA3">
        <w:rPr>
          <w:iCs/>
        </w:rPr>
        <w:t xml:space="preserve">not to lose this as for the refund. A better alternative would be </w:t>
      </w:r>
      <w:r w:rsidR="00521345">
        <w:rPr>
          <w:iCs/>
        </w:rPr>
        <w:t xml:space="preserve">to reuse the information that is already present in the charging information in both the IEC and PEC for the event, but </w:t>
      </w:r>
      <w:r w:rsidR="000D1BB4">
        <w:rPr>
          <w:iCs/>
        </w:rPr>
        <w:t>this would require the CHF to know which are common and can be used.</w:t>
      </w:r>
      <w:r w:rsidR="00E26AB6">
        <w:rPr>
          <w:iCs/>
        </w:rPr>
        <w:t xml:space="preserve"> So having the CTF </w:t>
      </w:r>
      <w:r w:rsidR="001D4787">
        <w:rPr>
          <w:iCs/>
        </w:rPr>
        <w:t xml:space="preserve">determining which information elements that could be used for correlating </w:t>
      </w:r>
      <w:r w:rsidR="002A7720">
        <w:rPr>
          <w:iCs/>
        </w:rPr>
        <w:t xml:space="preserve">would be preferred. </w:t>
      </w:r>
      <w:r w:rsidR="002F173E">
        <w:rPr>
          <w:iCs/>
        </w:rPr>
        <w:t xml:space="preserve">This could be done as </w:t>
      </w:r>
      <w:r w:rsidR="00327C7B">
        <w:rPr>
          <w:iCs/>
        </w:rPr>
        <w:t xml:space="preserve">an addition to the common data structure of the Charging Data Request in </w:t>
      </w:r>
      <w:r w:rsidR="00A81DD1">
        <w:rPr>
          <w:iCs/>
        </w:rPr>
        <w:t xml:space="preserve">TS 32.290 [1] table </w:t>
      </w:r>
      <w:r w:rsidR="0081614A">
        <w:rPr>
          <w:iCs/>
        </w:rPr>
        <w:t>7.1.</w:t>
      </w:r>
    </w:p>
    <w:p w14:paraId="0FE2E5E2" w14:textId="15F3B588" w:rsidR="00904CBE" w:rsidRPr="00904CBE" w:rsidRDefault="00904CBE" w:rsidP="00904CBE">
      <w:pPr>
        <w:keepNext/>
        <w:keepLines/>
        <w:overflowPunct w:val="0"/>
        <w:autoSpaceDE w:val="0"/>
        <w:autoSpaceDN w:val="0"/>
        <w:adjustRightInd w:val="0"/>
        <w:spacing w:before="60"/>
        <w:jc w:val="center"/>
        <w:textAlignment w:val="baseline"/>
        <w:rPr>
          <w:rFonts w:ascii="Arial" w:eastAsia="MS Mincho" w:hAnsi="Arial"/>
          <w:b/>
          <w:lang w:val="x-none"/>
        </w:rPr>
      </w:pPr>
      <w:r w:rsidRPr="00904CBE">
        <w:rPr>
          <w:rFonts w:ascii="Arial" w:eastAsia="Times New Roman" w:hAnsi="Arial"/>
          <w:b/>
        </w:rPr>
        <w:t>T</w:t>
      </w:r>
      <w:r w:rsidRPr="00904CBE">
        <w:rPr>
          <w:rFonts w:ascii="Arial" w:eastAsia="Times New Roman" w:hAnsi="Arial"/>
          <w:b/>
          <w:lang w:val="x-none"/>
        </w:rPr>
        <w:t xml:space="preserve">able </w:t>
      </w:r>
      <w:r w:rsidR="00F57D1B">
        <w:rPr>
          <w:rFonts w:ascii="Arial" w:eastAsia="Times New Roman" w:hAnsi="Arial"/>
          <w:b/>
          <w:lang w:val="x-none"/>
        </w:rPr>
        <w:t>4</w:t>
      </w:r>
      <w:r w:rsidRPr="00904CBE">
        <w:rPr>
          <w:rFonts w:ascii="Arial" w:eastAsia="Times New Roman" w:hAnsi="Arial"/>
          <w:b/>
          <w:lang w:val="x-none"/>
        </w:rPr>
        <w:t>.</w:t>
      </w:r>
      <w:r w:rsidR="00F57D1B">
        <w:rPr>
          <w:rFonts w:ascii="Arial" w:eastAsia="Times New Roman" w:hAnsi="Arial"/>
          <w:b/>
          <w:lang w:val="x-none"/>
        </w:rPr>
        <w:t>3.1</w:t>
      </w:r>
      <w:r w:rsidRPr="00904CBE">
        <w:rPr>
          <w:rFonts w:ascii="Arial" w:eastAsia="Times New Roman" w:hAnsi="Arial"/>
          <w:b/>
          <w:lang w:val="x-none"/>
        </w:rPr>
        <w:t xml:space="preserve">: </w:t>
      </w:r>
      <w:r w:rsidR="00F57D1B">
        <w:rPr>
          <w:rFonts w:ascii="Arial" w:eastAsia="Times New Roman" w:hAnsi="Arial"/>
          <w:b/>
          <w:lang w:val="x-none"/>
        </w:rPr>
        <w:t xml:space="preserve">Addition to </w:t>
      </w:r>
      <w:r w:rsidR="00327C7B">
        <w:rPr>
          <w:rFonts w:ascii="Arial" w:eastAsia="Times New Roman" w:hAnsi="Arial"/>
          <w:b/>
          <w:lang w:val="x-none"/>
        </w:rPr>
        <w:t>c</w:t>
      </w:r>
      <w:r w:rsidRPr="00904CBE">
        <w:rPr>
          <w:rFonts w:ascii="Arial" w:eastAsia="Times New Roman" w:hAnsi="Arial"/>
          <w:b/>
          <w:lang w:val="x-none"/>
        </w:rPr>
        <w:t xml:space="preserve">ommon </w:t>
      </w:r>
      <w:r w:rsidR="00327C7B">
        <w:rPr>
          <w:rFonts w:ascii="Arial" w:eastAsia="Times New Roman" w:hAnsi="Arial"/>
          <w:b/>
          <w:lang w:val="x-none"/>
        </w:rPr>
        <w:t>d</w:t>
      </w:r>
      <w:r w:rsidRPr="00904CBE">
        <w:rPr>
          <w:rFonts w:ascii="Arial" w:eastAsia="Times New Roman" w:hAnsi="Arial"/>
          <w:b/>
          <w:lang w:val="x-none"/>
        </w:rPr>
        <w:t xml:space="preserve">ata structure of Charging Data </w:t>
      </w:r>
      <w:r w:rsidRPr="00904CBE">
        <w:rPr>
          <w:rFonts w:ascii="Arial" w:eastAsia="MS Mincho" w:hAnsi="Arial"/>
          <w:b/>
          <w:lang w:val="x-none"/>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53"/>
        <w:gridCol w:w="1228"/>
        <w:gridCol w:w="4782"/>
      </w:tblGrid>
      <w:tr w:rsidR="00904CBE" w:rsidRPr="00904CBE" w14:paraId="2851D91C" w14:textId="77777777" w:rsidTr="00904CBE">
        <w:trPr>
          <w:tblHeader/>
          <w:jc w:val="center"/>
        </w:trPr>
        <w:tc>
          <w:tcPr>
            <w:tcW w:w="2353" w:type="dxa"/>
            <w:tcBorders>
              <w:top w:val="single" w:sz="4" w:space="0" w:color="auto"/>
              <w:left w:val="single" w:sz="4" w:space="0" w:color="auto"/>
              <w:bottom w:val="single" w:sz="4" w:space="0" w:color="auto"/>
              <w:right w:val="single" w:sz="4" w:space="0" w:color="auto"/>
            </w:tcBorders>
            <w:shd w:val="clear" w:color="auto" w:fill="CCCCCC"/>
            <w:hideMark/>
          </w:tcPr>
          <w:p w14:paraId="0E99CCEC" w14:textId="77777777" w:rsidR="00904CBE" w:rsidRPr="00904CBE" w:rsidRDefault="00904CBE" w:rsidP="00904CBE">
            <w:pPr>
              <w:keepNext/>
              <w:overflowPunct w:val="0"/>
              <w:autoSpaceDE w:val="0"/>
              <w:autoSpaceDN w:val="0"/>
              <w:adjustRightInd w:val="0"/>
              <w:spacing w:after="0"/>
              <w:jc w:val="center"/>
              <w:textAlignment w:val="baseline"/>
              <w:rPr>
                <w:rFonts w:ascii="Arial" w:eastAsia="Times New Roman" w:hAnsi="Arial"/>
                <w:b/>
                <w:sz w:val="18"/>
                <w:lang w:eastAsia="zh-CN" w:bidi="ar-IQ"/>
              </w:rPr>
            </w:pPr>
            <w:r w:rsidRPr="00904CBE">
              <w:rPr>
                <w:rFonts w:ascii="Arial" w:eastAsia="Times New Roman" w:hAnsi="Arial"/>
                <w:b/>
                <w:sz w:val="18"/>
                <w:lang w:eastAsia="zh-CN" w:bidi="ar-IQ"/>
              </w:rPr>
              <w:t>Information Element</w:t>
            </w:r>
          </w:p>
        </w:tc>
        <w:tc>
          <w:tcPr>
            <w:tcW w:w="1228" w:type="dxa"/>
            <w:tcBorders>
              <w:top w:val="single" w:sz="4" w:space="0" w:color="auto"/>
              <w:left w:val="single" w:sz="4" w:space="0" w:color="auto"/>
              <w:bottom w:val="single" w:sz="4" w:space="0" w:color="auto"/>
              <w:right w:val="single" w:sz="4" w:space="0" w:color="auto"/>
            </w:tcBorders>
            <w:shd w:val="clear" w:color="auto" w:fill="CCCCCC"/>
            <w:hideMark/>
          </w:tcPr>
          <w:p w14:paraId="3D572797" w14:textId="77777777" w:rsidR="00904CBE" w:rsidRPr="00904CBE" w:rsidRDefault="00904CBE" w:rsidP="00904CBE">
            <w:pPr>
              <w:keepNext/>
              <w:overflowPunct w:val="0"/>
              <w:autoSpaceDE w:val="0"/>
              <w:autoSpaceDN w:val="0"/>
              <w:adjustRightInd w:val="0"/>
              <w:spacing w:after="0"/>
              <w:jc w:val="center"/>
              <w:textAlignment w:val="baseline"/>
              <w:rPr>
                <w:rFonts w:ascii="Arial" w:eastAsia="Times New Roman" w:hAnsi="Arial"/>
                <w:b/>
                <w:sz w:val="18"/>
                <w:lang w:eastAsia="x-none" w:bidi="ar-IQ"/>
              </w:rPr>
            </w:pPr>
            <w:r w:rsidRPr="00904CBE">
              <w:rPr>
                <w:rFonts w:ascii="Arial" w:eastAsia="Times New Roman" w:hAnsi="Arial"/>
                <w:b/>
                <w:sz w:val="18"/>
                <w:lang w:eastAsia="x-none" w:bidi="ar-IQ"/>
              </w:rPr>
              <w:t>Converged Charging</w:t>
            </w:r>
          </w:p>
          <w:p w14:paraId="5396ABFD" w14:textId="77777777" w:rsidR="00904CBE" w:rsidRPr="00904CBE" w:rsidRDefault="00904CBE" w:rsidP="00904CBE">
            <w:pPr>
              <w:keepNext/>
              <w:overflowPunct w:val="0"/>
              <w:autoSpaceDE w:val="0"/>
              <w:autoSpaceDN w:val="0"/>
              <w:adjustRightInd w:val="0"/>
              <w:spacing w:after="0"/>
              <w:jc w:val="center"/>
              <w:textAlignment w:val="baseline"/>
              <w:rPr>
                <w:rFonts w:ascii="Arial" w:eastAsia="Times New Roman" w:hAnsi="Arial"/>
                <w:b/>
                <w:sz w:val="18"/>
                <w:lang w:eastAsia="x-none" w:bidi="ar-IQ"/>
              </w:rPr>
            </w:pPr>
            <w:r w:rsidRPr="00904CBE">
              <w:rPr>
                <w:rFonts w:ascii="Arial" w:eastAsia="Times New Roman" w:hAnsi="Arial"/>
                <w:b/>
                <w:sz w:val="18"/>
                <w:lang w:eastAsia="x-none" w:bidi="ar-IQ"/>
              </w:rPr>
              <w:t>Category</w:t>
            </w:r>
          </w:p>
        </w:tc>
        <w:tc>
          <w:tcPr>
            <w:tcW w:w="4782" w:type="dxa"/>
            <w:tcBorders>
              <w:top w:val="single" w:sz="4" w:space="0" w:color="auto"/>
              <w:left w:val="single" w:sz="4" w:space="0" w:color="auto"/>
              <w:bottom w:val="single" w:sz="4" w:space="0" w:color="auto"/>
              <w:right w:val="single" w:sz="4" w:space="0" w:color="auto"/>
            </w:tcBorders>
            <w:shd w:val="clear" w:color="auto" w:fill="CCCCCC"/>
            <w:hideMark/>
          </w:tcPr>
          <w:p w14:paraId="7859CE72" w14:textId="77777777" w:rsidR="00904CBE" w:rsidRPr="00904CBE" w:rsidRDefault="00904CBE" w:rsidP="00904CBE">
            <w:pPr>
              <w:keepNext/>
              <w:overflowPunct w:val="0"/>
              <w:autoSpaceDE w:val="0"/>
              <w:autoSpaceDN w:val="0"/>
              <w:adjustRightInd w:val="0"/>
              <w:spacing w:after="0"/>
              <w:jc w:val="center"/>
              <w:textAlignment w:val="baseline"/>
              <w:rPr>
                <w:rFonts w:ascii="Arial" w:eastAsia="Times New Roman" w:hAnsi="Arial"/>
                <w:b/>
                <w:sz w:val="18"/>
                <w:lang w:eastAsia="x-none" w:bidi="ar-IQ"/>
              </w:rPr>
            </w:pPr>
            <w:r w:rsidRPr="00904CBE">
              <w:rPr>
                <w:rFonts w:ascii="Arial" w:eastAsia="Times New Roman" w:hAnsi="Arial"/>
                <w:b/>
                <w:sz w:val="18"/>
                <w:lang w:eastAsia="x-none" w:bidi="ar-IQ"/>
              </w:rPr>
              <w:t>Description</w:t>
            </w:r>
          </w:p>
        </w:tc>
      </w:tr>
      <w:tr w:rsidR="00F57D1B" w:rsidRPr="00904CBE" w14:paraId="42F77042" w14:textId="77777777" w:rsidTr="00904CBE">
        <w:trPr>
          <w:cantSplit/>
          <w:jc w:val="center"/>
        </w:trPr>
        <w:tc>
          <w:tcPr>
            <w:tcW w:w="2353" w:type="dxa"/>
            <w:tcBorders>
              <w:top w:val="single" w:sz="6" w:space="0" w:color="auto"/>
              <w:left w:val="single" w:sz="6" w:space="0" w:color="auto"/>
              <w:bottom w:val="single" w:sz="6" w:space="0" w:color="auto"/>
              <w:right w:val="single" w:sz="6" w:space="0" w:color="auto"/>
            </w:tcBorders>
            <w:hideMark/>
          </w:tcPr>
          <w:p w14:paraId="6702DE03" w14:textId="690F6428" w:rsidR="00F57D1B" w:rsidRPr="00904CBE" w:rsidRDefault="00F57D1B" w:rsidP="00F57D1B">
            <w:pPr>
              <w:keepNext/>
              <w:keepLines/>
              <w:overflowPunct w:val="0"/>
              <w:autoSpaceDE w:val="0"/>
              <w:autoSpaceDN w:val="0"/>
              <w:adjustRightInd w:val="0"/>
              <w:spacing w:after="0"/>
              <w:textAlignment w:val="baseline"/>
              <w:rPr>
                <w:rFonts w:ascii="Arial" w:eastAsia="Times New Roman" w:hAnsi="Arial" w:cs="Arial"/>
                <w:sz w:val="18"/>
                <w:szCs w:val="18"/>
                <w:lang w:val="x-none" w:bidi="ar-IQ"/>
              </w:rPr>
            </w:pPr>
            <w:r>
              <w:rPr>
                <w:rFonts w:ascii="Arial" w:eastAsia="Times New Roman" w:hAnsi="Arial"/>
                <w:sz w:val="18"/>
                <w:lang w:eastAsia="zh-CN"/>
              </w:rPr>
              <w:t>Correlation information</w:t>
            </w:r>
          </w:p>
        </w:tc>
        <w:tc>
          <w:tcPr>
            <w:tcW w:w="1228" w:type="dxa"/>
            <w:tcBorders>
              <w:top w:val="single" w:sz="6" w:space="0" w:color="auto"/>
              <w:left w:val="single" w:sz="6" w:space="0" w:color="auto"/>
              <w:bottom w:val="single" w:sz="6" w:space="0" w:color="auto"/>
              <w:right w:val="single" w:sz="6" w:space="0" w:color="auto"/>
            </w:tcBorders>
            <w:hideMark/>
          </w:tcPr>
          <w:p w14:paraId="740C06EF" w14:textId="36204554" w:rsidR="00F57D1B" w:rsidRPr="00904CBE" w:rsidRDefault="00F57D1B" w:rsidP="00F57D1B">
            <w:pPr>
              <w:keepNext/>
              <w:keepLines/>
              <w:overflowPunct w:val="0"/>
              <w:autoSpaceDE w:val="0"/>
              <w:autoSpaceDN w:val="0"/>
              <w:adjustRightInd w:val="0"/>
              <w:spacing w:after="0"/>
              <w:jc w:val="center"/>
              <w:textAlignment w:val="baseline"/>
              <w:rPr>
                <w:rFonts w:ascii="Arial" w:eastAsia="Times New Roman" w:hAnsi="Arial" w:cs="Arial"/>
                <w:sz w:val="18"/>
                <w:szCs w:val="18"/>
                <w:lang w:val="x-none" w:bidi="ar-IQ"/>
              </w:rPr>
            </w:pPr>
            <w:r w:rsidRPr="004B679B">
              <w:rPr>
                <w:rFonts w:ascii="Arial" w:eastAsia="Times New Roman" w:hAnsi="Arial"/>
                <w:sz w:val="18"/>
                <w:szCs w:val="18"/>
                <w:lang w:bidi="ar-IQ"/>
              </w:rPr>
              <w:t>O</w:t>
            </w:r>
            <w:r w:rsidRPr="004B679B">
              <w:rPr>
                <w:rFonts w:ascii="Arial" w:eastAsia="Times New Roman" w:hAnsi="Arial"/>
                <w:sz w:val="18"/>
                <w:szCs w:val="18"/>
                <w:vertAlign w:val="subscript"/>
                <w:lang w:bidi="ar-IQ"/>
              </w:rPr>
              <w:t>C</w:t>
            </w:r>
          </w:p>
        </w:tc>
        <w:tc>
          <w:tcPr>
            <w:tcW w:w="4782" w:type="dxa"/>
            <w:tcBorders>
              <w:top w:val="single" w:sz="6" w:space="0" w:color="auto"/>
              <w:left w:val="single" w:sz="6" w:space="0" w:color="auto"/>
              <w:bottom w:val="single" w:sz="6" w:space="0" w:color="auto"/>
              <w:right w:val="single" w:sz="6" w:space="0" w:color="auto"/>
            </w:tcBorders>
            <w:hideMark/>
          </w:tcPr>
          <w:p w14:paraId="2E9270A0" w14:textId="6B0CAD59" w:rsidR="00F57D1B" w:rsidRPr="00904CBE" w:rsidRDefault="00F57D1B" w:rsidP="00F57D1B">
            <w:pPr>
              <w:keepNext/>
              <w:keepLines/>
              <w:overflowPunct w:val="0"/>
              <w:autoSpaceDE w:val="0"/>
              <w:autoSpaceDN w:val="0"/>
              <w:adjustRightInd w:val="0"/>
              <w:spacing w:after="0"/>
              <w:textAlignment w:val="baseline"/>
              <w:rPr>
                <w:rFonts w:ascii="Arial" w:eastAsia="Times New Roman" w:hAnsi="Arial"/>
                <w:sz w:val="18"/>
                <w:lang w:val="x-none" w:bidi="ar-IQ"/>
              </w:rPr>
            </w:pPr>
            <w:r w:rsidRPr="004B679B">
              <w:rPr>
                <w:rFonts w:ascii="Arial" w:eastAsia="MS Mincho" w:hAnsi="Arial"/>
                <w:sz w:val="18"/>
              </w:rPr>
              <w:t xml:space="preserve">This field contains the </w:t>
            </w:r>
            <w:r>
              <w:rPr>
                <w:rFonts w:ascii="Arial" w:eastAsia="MS Mincho" w:hAnsi="Arial"/>
                <w:sz w:val="18"/>
              </w:rPr>
              <w:t xml:space="preserve">information on how two </w:t>
            </w:r>
            <w:r w:rsidR="002D5409">
              <w:rPr>
                <w:rFonts w:ascii="Arial" w:eastAsia="MS Mincho" w:hAnsi="Arial"/>
                <w:sz w:val="18"/>
              </w:rPr>
              <w:t>requests</w:t>
            </w:r>
            <w:r>
              <w:rPr>
                <w:rFonts w:ascii="Arial" w:eastAsia="MS Mincho" w:hAnsi="Arial"/>
                <w:sz w:val="18"/>
              </w:rPr>
              <w:t xml:space="preserve"> can be correlated, between events</w:t>
            </w:r>
            <w:r w:rsidR="002D5409">
              <w:rPr>
                <w:rFonts w:ascii="Arial" w:eastAsia="MS Mincho" w:hAnsi="Arial"/>
                <w:sz w:val="18"/>
              </w:rPr>
              <w:t>, i.e.</w:t>
            </w:r>
            <w:r w:rsidR="002D5409">
              <w:rPr>
                <w:rFonts w:ascii="Arial" w:eastAsia="Times New Roman" w:hAnsi="Arial" w:cs="Arial"/>
                <w:sz w:val="18"/>
              </w:rPr>
              <w:t xml:space="preserve"> between IEC and PEC</w:t>
            </w:r>
            <w:r w:rsidR="00EA22DF">
              <w:rPr>
                <w:rFonts w:ascii="Arial" w:eastAsia="Times New Roman" w:hAnsi="Arial" w:cs="Arial"/>
                <w:sz w:val="18"/>
              </w:rPr>
              <w:t>.</w:t>
            </w:r>
          </w:p>
        </w:tc>
      </w:tr>
      <w:tr w:rsidR="00F57D1B" w:rsidRPr="00904CBE" w14:paraId="158FFB9F" w14:textId="77777777" w:rsidTr="00904CBE">
        <w:trPr>
          <w:cantSplit/>
          <w:jc w:val="center"/>
        </w:trPr>
        <w:tc>
          <w:tcPr>
            <w:tcW w:w="2353" w:type="dxa"/>
            <w:tcBorders>
              <w:top w:val="single" w:sz="6" w:space="0" w:color="auto"/>
              <w:left w:val="single" w:sz="6" w:space="0" w:color="auto"/>
              <w:bottom w:val="single" w:sz="6" w:space="0" w:color="auto"/>
              <w:right w:val="single" w:sz="6" w:space="0" w:color="auto"/>
            </w:tcBorders>
            <w:hideMark/>
          </w:tcPr>
          <w:p w14:paraId="3DBA0F99" w14:textId="24457186" w:rsidR="00F57D1B" w:rsidRPr="00904CBE" w:rsidRDefault="00F57D1B" w:rsidP="00F57D1B">
            <w:pPr>
              <w:keepNext/>
              <w:keepLines/>
              <w:overflowPunct w:val="0"/>
              <w:autoSpaceDE w:val="0"/>
              <w:autoSpaceDN w:val="0"/>
              <w:adjustRightInd w:val="0"/>
              <w:spacing w:after="0"/>
              <w:ind w:left="284"/>
              <w:textAlignment w:val="baseline"/>
              <w:rPr>
                <w:rFonts w:ascii="Arial" w:eastAsia="Times New Roman" w:hAnsi="Arial"/>
                <w:sz w:val="18"/>
                <w:lang w:val="x-none"/>
              </w:rPr>
            </w:pPr>
            <w:r>
              <w:rPr>
                <w:rFonts w:ascii="Arial" w:eastAsia="Times New Roman" w:hAnsi="Arial" w:cs="Arial"/>
                <w:sz w:val="18"/>
                <w:szCs w:val="18"/>
              </w:rPr>
              <w:t>Information Element</w:t>
            </w:r>
            <w:r w:rsidR="008F2C9F">
              <w:rPr>
                <w:rFonts w:ascii="Arial" w:eastAsia="Times New Roman" w:hAnsi="Arial" w:cs="Arial"/>
                <w:sz w:val="18"/>
                <w:szCs w:val="18"/>
              </w:rPr>
              <w:t xml:space="preserve"> List</w:t>
            </w:r>
          </w:p>
        </w:tc>
        <w:tc>
          <w:tcPr>
            <w:tcW w:w="1228" w:type="dxa"/>
            <w:tcBorders>
              <w:top w:val="single" w:sz="6" w:space="0" w:color="auto"/>
              <w:left w:val="single" w:sz="6" w:space="0" w:color="auto"/>
              <w:bottom w:val="single" w:sz="6" w:space="0" w:color="auto"/>
              <w:right w:val="single" w:sz="6" w:space="0" w:color="auto"/>
            </w:tcBorders>
            <w:hideMark/>
          </w:tcPr>
          <w:p w14:paraId="25F52D16" w14:textId="32BFA054" w:rsidR="00F57D1B" w:rsidRPr="00904CBE" w:rsidRDefault="00F57D1B" w:rsidP="00F57D1B">
            <w:pPr>
              <w:keepNext/>
              <w:keepLines/>
              <w:overflowPunct w:val="0"/>
              <w:autoSpaceDE w:val="0"/>
              <w:autoSpaceDN w:val="0"/>
              <w:adjustRightInd w:val="0"/>
              <w:spacing w:after="0"/>
              <w:jc w:val="center"/>
              <w:textAlignment w:val="baseline"/>
              <w:rPr>
                <w:rFonts w:ascii="Arial" w:eastAsia="Times New Roman" w:hAnsi="Arial" w:cs="Arial"/>
                <w:sz w:val="18"/>
                <w:szCs w:val="18"/>
                <w:lang w:val="x-none" w:bidi="ar-IQ"/>
              </w:rPr>
            </w:pPr>
            <w:r w:rsidRPr="004B679B">
              <w:rPr>
                <w:rFonts w:ascii="Arial" w:eastAsia="Times New Roman" w:hAnsi="Arial"/>
                <w:sz w:val="18"/>
                <w:szCs w:val="18"/>
              </w:rPr>
              <w:t>O</w:t>
            </w:r>
            <w:r w:rsidRPr="004B679B">
              <w:rPr>
                <w:rFonts w:ascii="Arial" w:eastAsia="Times New Roman" w:hAnsi="Arial"/>
                <w:sz w:val="18"/>
                <w:szCs w:val="18"/>
                <w:vertAlign w:val="subscript"/>
              </w:rPr>
              <w:t>C</w:t>
            </w:r>
          </w:p>
        </w:tc>
        <w:tc>
          <w:tcPr>
            <w:tcW w:w="4782" w:type="dxa"/>
            <w:tcBorders>
              <w:top w:val="single" w:sz="6" w:space="0" w:color="auto"/>
              <w:left w:val="single" w:sz="6" w:space="0" w:color="auto"/>
              <w:bottom w:val="single" w:sz="6" w:space="0" w:color="auto"/>
              <w:right w:val="single" w:sz="6" w:space="0" w:color="auto"/>
            </w:tcBorders>
            <w:hideMark/>
          </w:tcPr>
          <w:p w14:paraId="351F8722" w14:textId="6725F76D" w:rsidR="00F57D1B" w:rsidRPr="00904CBE" w:rsidRDefault="00F57D1B" w:rsidP="00F57D1B">
            <w:pPr>
              <w:keepNext/>
              <w:keepLines/>
              <w:overflowPunct w:val="0"/>
              <w:autoSpaceDE w:val="0"/>
              <w:autoSpaceDN w:val="0"/>
              <w:adjustRightInd w:val="0"/>
              <w:spacing w:after="0"/>
              <w:textAlignment w:val="baseline"/>
              <w:rPr>
                <w:rFonts w:ascii="Arial" w:eastAsia="Times New Roman" w:hAnsi="Arial"/>
                <w:sz w:val="18"/>
                <w:lang w:val="x-none" w:bidi="ar-IQ"/>
              </w:rPr>
            </w:pPr>
            <w:r w:rsidRPr="004B679B">
              <w:rPr>
                <w:rFonts w:ascii="Arial" w:eastAsia="Times New Roman" w:hAnsi="Arial"/>
                <w:sz w:val="18"/>
              </w:rPr>
              <w:t xml:space="preserve">This field holds </w:t>
            </w:r>
            <w:r>
              <w:rPr>
                <w:rFonts w:ascii="Arial" w:eastAsia="Times New Roman" w:hAnsi="Arial"/>
                <w:sz w:val="18"/>
              </w:rPr>
              <w:t>a list of information element included in the request that can be used in correlation</w:t>
            </w:r>
            <w:r w:rsidRPr="004B679B">
              <w:rPr>
                <w:rFonts w:ascii="Arial" w:eastAsia="Times New Roman" w:hAnsi="Arial"/>
                <w:sz w:val="18"/>
              </w:rPr>
              <w:t>.</w:t>
            </w:r>
          </w:p>
        </w:tc>
      </w:tr>
    </w:tbl>
    <w:p w14:paraId="234640CE" w14:textId="77777777" w:rsidR="00643902" w:rsidRDefault="00643902">
      <w:pPr>
        <w:rPr>
          <w:iCs/>
        </w:rPr>
      </w:pPr>
    </w:p>
    <w:p w14:paraId="1CE7FD2A" w14:textId="7D5ECE08" w:rsidR="00904CBE" w:rsidRDefault="005A2AEA">
      <w:pPr>
        <w:rPr>
          <w:iCs/>
        </w:rPr>
      </w:pPr>
      <w:r>
        <w:rPr>
          <w:iCs/>
        </w:rPr>
        <w:t>The “</w:t>
      </w:r>
      <w:r w:rsidRPr="003D18EB">
        <w:rPr>
          <w:iCs/>
        </w:rPr>
        <w:t xml:space="preserve">Information Element List” would contain references to the </w:t>
      </w:r>
      <w:r w:rsidR="00EE769E" w:rsidRPr="003D18EB">
        <w:rPr>
          <w:iCs/>
        </w:rPr>
        <w:t>Resource A</w:t>
      </w:r>
      <w:r w:rsidR="009A3B6D" w:rsidRPr="003D18EB">
        <w:rPr>
          <w:iCs/>
        </w:rPr>
        <w:t xml:space="preserve">ttribute in the same Charging Data Request that can be used for correlation of </w:t>
      </w:r>
      <w:r w:rsidR="00EA22DF" w:rsidRPr="003D18EB">
        <w:rPr>
          <w:iCs/>
        </w:rPr>
        <w:t xml:space="preserve">the IEC and PEC it could for instance for an SMS </w:t>
      </w:r>
      <w:r w:rsidR="00C054C7" w:rsidRPr="003D18EB">
        <w:rPr>
          <w:iCs/>
        </w:rPr>
        <w:t xml:space="preserve">charging contain: </w:t>
      </w:r>
      <w:r w:rsidR="00370BB1" w:rsidRPr="003D18EB">
        <w:rPr>
          <w:iCs/>
        </w:rPr>
        <w:t>“/</w:t>
      </w:r>
      <w:proofErr w:type="spellStart"/>
      <w:r w:rsidR="00370BB1" w:rsidRPr="003D18EB">
        <w:rPr>
          <w:iCs/>
        </w:rPr>
        <w:t>sMSChargingInformation</w:t>
      </w:r>
      <w:proofErr w:type="spellEnd"/>
      <w:r w:rsidR="00370BB1" w:rsidRPr="003D18EB">
        <w:rPr>
          <w:iCs/>
        </w:rPr>
        <w:t>/</w:t>
      </w:r>
      <w:proofErr w:type="spellStart"/>
      <w:r w:rsidR="00370BB1" w:rsidRPr="003D18EB">
        <w:rPr>
          <w:iCs/>
        </w:rPr>
        <w:t>originatorInfo</w:t>
      </w:r>
      <w:proofErr w:type="spellEnd"/>
      <w:r w:rsidR="00370BB1" w:rsidRPr="003D18EB">
        <w:rPr>
          <w:iCs/>
        </w:rPr>
        <w:t>/</w:t>
      </w:r>
      <w:proofErr w:type="spellStart"/>
      <w:r w:rsidR="00370BB1" w:rsidRPr="003D18EB">
        <w:rPr>
          <w:iCs/>
        </w:rPr>
        <w:t>originatorSUPI</w:t>
      </w:r>
      <w:proofErr w:type="spellEnd"/>
      <w:r w:rsidR="00370BB1" w:rsidRPr="003D18EB">
        <w:rPr>
          <w:iCs/>
        </w:rPr>
        <w:t>”</w:t>
      </w:r>
      <w:r w:rsidR="00DB7684" w:rsidRPr="003D18EB">
        <w:rPr>
          <w:iCs/>
        </w:rPr>
        <w:t>, “/</w:t>
      </w:r>
      <w:proofErr w:type="spellStart"/>
      <w:r w:rsidR="00DB7684" w:rsidRPr="003D18EB">
        <w:rPr>
          <w:iCs/>
        </w:rPr>
        <w:t>sMSChargingInformation</w:t>
      </w:r>
      <w:proofErr w:type="spellEnd"/>
      <w:r w:rsidR="00DB7684" w:rsidRPr="003D18EB">
        <w:rPr>
          <w:iCs/>
        </w:rPr>
        <w:t>/</w:t>
      </w:r>
      <w:proofErr w:type="spellStart"/>
      <w:r w:rsidR="00DB7684" w:rsidRPr="003D18EB">
        <w:rPr>
          <w:iCs/>
        </w:rPr>
        <w:t>recipientInfo</w:t>
      </w:r>
      <w:proofErr w:type="spellEnd"/>
      <w:r w:rsidR="00DB7684" w:rsidRPr="003D18EB">
        <w:rPr>
          <w:iCs/>
        </w:rPr>
        <w:t>/</w:t>
      </w:r>
      <w:proofErr w:type="spellStart"/>
      <w:r w:rsidR="00DB7684" w:rsidRPr="003D18EB">
        <w:rPr>
          <w:iCs/>
        </w:rPr>
        <w:t>recipientSUPI</w:t>
      </w:r>
      <w:proofErr w:type="spellEnd"/>
      <w:r w:rsidR="00DB7684" w:rsidRPr="003D18EB">
        <w:rPr>
          <w:iCs/>
        </w:rPr>
        <w:t>”,</w:t>
      </w:r>
      <w:r w:rsidR="00370BB1" w:rsidRPr="003D18EB">
        <w:rPr>
          <w:iCs/>
        </w:rPr>
        <w:t xml:space="preserve"> and </w:t>
      </w:r>
      <w:r w:rsidR="00E836C6" w:rsidRPr="003D18EB">
        <w:rPr>
          <w:iCs/>
        </w:rPr>
        <w:t>“/</w:t>
      </w:r>
      <w:proofErr w:type="spellStart"/>
      <w:r w:rsidR="00E836C6" w:rsidRPr="003D18EB">
        <w:rPr>
          <w:iCs/>
        </w:rPr>
        <w:t>sMSChargingInformation</w:t>
      </w:r>
      <w:proofErr w:type="spellEnd"/>
      <w:r w:rsidR="00E836C6" w:rsidRPr="003D18EB">
        <w:rPr>
          <w:iCs/>
        </w:rPr>
        <w:t>/</w:t>
      </w:r>
      <w:proofErr w:type="spellStart"/>
      <w:r w:rsidR="00E836C6" w:rsidRPr="003D18EB">
        <w:rPr>
          <w:iCs/>
        </w:rPr>
        <w:t>submissionTime</w:t>
      </w:r>
      <w:proofErr w:type="spellEnd"/>
      <w:r w:rsidR="00E836C6" w:rsidRPr="003D18EB">
        <w:rPr>
          <w:iCs/>
        </w:rPr>
        <w:t>”</w:t>
      </w:r>
      <w:r w:rsidR="00DB7684" w:rsidRPr="003D18EB">
        <w:rPr>
          <w:iCs/>
        </w:rPr>
        <w:t xml:space="preserve">. This would allow the </w:t>
      </w:r>
      <w:r w:rsidR="00BC6516" w:rsidRPr="003D18EB">
        <w:rPr>
          <w:iCs/>
        </w:rPr>
        <w:t xml:space="preserve">CHF to later find a match between </w:t>
      </w:r>
      <w:r w:rsidR="0081614A" w:rsidRPr="003D18EB">
        <w:rPr>
          <w:iCs/>
        </w:rPr>
        <w:t>the IEC and PEC</w:t>
      </w:r>
    </w:p>
    <w:p w14:paraId="45F83A3D" w14:textId="4810A518" w:rsidR="00A81DD1" w:rsidRDefault="008541C2">
      <w:pPr>
        <w:rPr>
          <w:iCs/>
        </w:rPr>
      </w:pPr>
      <w:r>
        <w:rPr>
          <w:iCs/>
        </w:rPr>
        <w:t xml:space="preserve">It will still require the CHF to hold the information </w:t>
      </w:r>
      <w:r w:rsidR="00042EB0">
        <w:rPr>
          <w:iCs/>
        </w:rPr>
        <w:t xml:space="preserve">for an undetermined </w:t>
      </w:r>
      <w:r w:rsidR="003F3DA6">
        <w:rPr>
          <w:iCs/>
        </w:rPr>
        <w:t xml:space="preserve">time which could be solved if the CTF could state the time frame in which the </w:t>
      </w:r>
      <w:r w:rsidR="00B20249">
        <w:rPr>
          <w:iCs/>
        </w:rPr>
        <w:t>PEC can be expected. This could be done as a further addition to the common data structure of the Charging Data Request in TS 32.290 [1] table 7.1.</w:t>
      </w:r>
    </w:p>
    <w:p w14:paraId="3E3AAAFC" w14:textId="20459321" w:rsidR="00A81DD1" w:rsidRPr="00904CBE" w:rsidRDefault="00A81DD1" w:rsidP="00A81DD1">
      <w:pPr>
        <w:keepNext/>
        <w:keepLines/>
        <w:overflowPunct w:val="0"/>
        <w:autoSpaceDE w:val="0"/>
        <w:autoSpaceDN w:val="0"/>
        <w:adjustRightInd w:val="0"/>
        <w:spacing w:before="60"/>
        <w:jc w:val="center"/>
        <w:textAlignment w:val="baseline"/>
        <w:rPr>
          <w:rFonts w:ascii="Arial" w:eastAsia="MS Mincho" w:hAnsi="Arial"/>
          <w:b/>
          <w:lang w:val="x-none"/>
        </w:rPr>
      </w:pPr>
      <w:r w:rsidRPr="00904CBE">
        <w:rPr>
          <w:rFonts w:ascii="Arial" w:eastAsia="Times New Roman" w:hAnsi="Arial"/>
          <w:b/>
        </w:rPr>
        <w:lastRenderedPageBreak/>
        <w:t>T</w:t>
      </w:r>
      <w:r w:rsidRPr="00904CBE">
        <w:rPr>
          <w:rFonts w:ascii="Arial" w:eastAsia="Times New Roman" w:hAnsi="Arial"/>
          <w:b/>
          <w:lang w:val="x-none"/>
        </w:rPr>
        <w:t xml:space="preserve">able </w:t>
      </w:r>
      <w:r>
        <w:rPr>
          <w:rFonts w:ascii="Arial" w:eastAsia="Times New Roman" w:hAnsi="Arial"/>
          <w:b/>
          <w:lang w:val="x-none"/>
        </w:rPr>
        <w:t>4</w:t>
      </w:r>
      <w:r w:rsidRPr="00904CBE">
        <w:rPr>
          <w:rFonts w:ascii="Arial" w:eastAsia="Times New Roman" w:hAnsi="Arial"/>
          <w:b/>
          <w:lang w:val="x-none"/>
        </w:rPr>
        <w:t>.</w:t>
      </w:r>
      <w:r>
        <w:rPr>
          <w:rFonts w:ascii="Arial" w:eastAsia="Times New Roman" w:hAnsi="Arial"/>
          <w:b/>
          <w:lang w:val="x-none"/>
        </w:rPr>
        <w:t>3.</w:t>
      </w:r>
      <w:r w:rsidR="008F2C9F">
        <w:rPr>
          <w:rFonts w:ascii="Arial" w:eastAsia="Times New Roman" w:hAnsi="Arial"/>
          <w:b/>
          <w:lang w:val="x-none"/>
        </w:rPr>
        <w:t>2</w:t>
      </w:r>
      <w:r w:rsidRPr="00904CBE">
        <w:rPr>
          <w:rFonts w:ascii="Arial" w:eastAsia="Times New Roman" w:hAnsi="Arial"/>
          <w:b/>
          <w:lang w:val="x-none"/>
        </w:rPr>
        <w:t xml:space="preserve">: </w:t>
      </w:r>
      <w:r>
        <w:rPr>
          <w:rFonts w:ascii="Arial" w:eastAsia="Times New Roman" w:hAnsi="Arial"/>
          <w:b/>
          <w:lang w:val="x-none"/>
        </w:rPr>
        <w:t>Addition to c</w:t>
      </w:r>
      <w:r w:rsidRPr="00904CBE">
        <w:rPr>
          <w:rFonts w:ascii="Arial" w:eastAsia="Times New Roman" w:hAnsi="Arial"/>
          <w:b/>
          <w:lang w:val="x-none"/>
        </w:rPr>
        <w:t xml:space="preserve">ommon </w:t>
      </w:r>
      <w:r>
        <w:rPr>
          <w:rFonts w:ascii="Arial" w:eastAsia="Times New Roman" w:hAnsi="Arial"/>
          <w:b/>
          <w:lang w:val="x-none"/>
        </w:rPr>
        <w:t>d</w:t>
      </w:r>
      <w:r w:rsidRPr="00904CBE">
        <w:rPr>
          <w:rFonts w:ascii="Arial" w:eastAsia="Times New Roman" w:hAnsi="Arial"/>
          <w:b/>
          <w:lang w:val="x-none"/>
        </w:rPr>
        <w:t xml:space="preserve">ata structure of Charging Data </w:t>
      </w:r>
      <w:r w:rsidRPr="00904CBE">
        <w:rPr>
          <w:rFonts w:ascii="Arial" w:eastAsia="MS Mincho" w:hAnsi="Arial"/>
          <w:b/>
          <w:lang w:val="x-none"/>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53"/>
        <w:gridCol w:w="1228"/>
        <w:gridCol w:w="4782"/>
      </w:tblGrid>
      <w:tr w:rsidR="00A81DD1" w:rsidRPr="00904CBE" w14:paraId="1451503D" w14:textId="77777777" w:rsidTr="00195740">
        <w:trPr>
          <w:tblHeader/>
          <w:jc w:val="center"/>
        </w:trPr>
        <w:tc>
          <w:tcPr>
            <w:tcW w:w="2353" w:type="dxa"/>
            <w:tcBorders>
              <w:top w:val="single" w:sz="4" w:space="0" w:color="auto"/>
              <w:left w:val="single" w:sz="4" w:space="0" w:color="auto"/>
              <w:bottom w:val="single" w:sz="4" w:space="0" w:color="auto"/>
              <w:right w:val="single" w:sz="4" w:space="0" w:color="auto"/>
            </w:tcBorders>
            <w:shd w:val="clear" w:color="auto" w:fill="CCCCCC"/>
            <w:hideMark/>
          </w:tcPr>
          <w:p w14:paraId="6BBE59FD" w14:textId="77777777" w:rsidR="00A81DD1" w:rsidRPr="00904CBE" w:rsidRDefault="00A81DD1" w:rsidP="00195740">
            <w:pPr>
              <w:keepNext/>
              <w:overflowPunct w:val="0"/>
              <w:autoSpaceDE w:val="0"/>
              <w:autoSpaceDN w:val="0"/>
              <w:adjustRightInd w:val="0"/>
              <w:spacing w:after="0"/>
              <w:jc w:val="center"/>
              <w:textAlignment w:val="baseline"/>
              <w:rPr>
                <w:rFonts w:ascii="Arial" w:eastAsia="Times New Roman" w:hAnsi="Arial"/>
                <w:b/>
                <w:sz w:val="18"/>
                <w:lang w:eastAsia="zh-CN" w:bidi="ar-IQ"/>
              </w:rPr>
            </w:pPr>
            <w:r w:rsidRPr="00904CBE">
              <w:rPr>
                <w:rFonts w:ascii="Arial" w:eastAsia="Times New Roman" w:hAnsi="Arial"/>
                <w:b/>
                <w:sz w:val="18"/>
                <w:lang w:eastAsia="zh-CN" w:bidi="ar-IQ"/>
              </w:rPr>
              <w:t>Information Element</w:t>
            </w:r>
          </w:p>
        </w:tc>
        <w:tc>
          <w:tcPr>
            <w:tcW w:w="1228" w:type="dxa"/>
            <w:tcBorders>
              <w:top w:val="single" w:sz="4" w:space="0" w:color="auto"/>
              <w:left w:val="single" w:sz="4" w:space="0" w:color="auto"/>
              <w:bottom w:val="single" w:sz="4" w:space="0" w:color="auto"/>
              <w:right w:val="single" w:sz="4" w:space="0" w:color="auto"/>
            </w:tcBorders>
            <w:shd w:val="clear" w:color="auto" w:fill="CCCCCC"/>
            <w:hideMark/>
          </w:tcPr>
          <w:p w14:paraId="008F33F4" w14:textId="77777777" w:rsidR="00A81DD1" w:rsidRPr="00904CBE" w:rsidRDefault="00A81DD1" w:rsidP="00195740">
            <w:pPr>
              <w:keepNext/>
              <w:overflowPunct w:val="0"/>
              <w:autoSpaceDE w:val="0"/>
              <w:autoSpaceDN w:val="0"/>
              <w:adjustRightInd w:val="0"/>
              <w:spacing w:after="0"/>
              <w:jc w:val="center"/>
              <w:textAlignment w:val="baseline"/>
              <w:rPr>
                <w:rFonts w:ascii="Arial" w:eastAsia="Times New Roman" w:hAnsi="Arial"/>
                <w:b/>
                <w:sz w:val="18"/>
                <w:lang w:eastAsia="x-none" w:bidi="ar-IQ"/>
              </w:rPr>
            </w:pPr>
            <w:r w:rsidRPr="00904CBE">
              <w:rPr>
                <w:rFonts w:ascii="Arial" w:eastAsia="Times New Roman" w:hAnsi="Arial"/>
                <w:b/>
                <w:sz w:val="18"/>
                <w:lang w:eastAsia="x-none" w:bidi="ar-IQ"/>
              </w:rPr>
              <w:t>Converged Charging</w:t>
            </w:r>
          </w:p>
          <w:p w14:paraId="10C8C0A1" w14:textId="77777777" w:rsidR="00A81DD1" w:rsidRPr="00904CBE" w:rsidRDefault="00A81DD1" w:rsidP="00195740">
            <w:pPr>
              <w:keepNext/>
              <w:overflowPunct w:val="0"/>
              <w:autoSpaceDE w:val="0"/>
              <w:autoSpaceDN w:val="0"/>
              <w:adjustRightInd w:val="0"/>
              <w:spacing w:after="0"/>
              <w:jc w:val="center"/>
              <w:textAlignment w:val="baseline"/>
              <w:rPr>
                <w:rFonts w:ascii="Arial" w:eastAsia="Times New Roman" w:hAnsi="Arial"/>
                <w:b/>
                <w:sz w:val="18"/>
                <w:lang w:eastAsia="x-none" w:bidi="ar-IQ"/>
              </w:rPr>
            </w:pPr>
            <w:r w:rsidRPr="00904CBE">
              <w:rPr>
                <w:rFonts w:ascii="Arial" w:eastAsia="Times New Roman" w:hAnsi="Arial"/>
                <w:b/>
                <w:sz w:val="18"/>
                <w:lang w:eastAsia="x-none" w:bidi="ar-IQ"/>
              </w:rPr>
              <w:t>Category</w:t>
            </w:r>
          </w:p>
        </w:tc>
        <w:tc>
          <w:tcPr>
            <w:tcW w:w="4782" w:type="dxa"/>
            <w:tcBorders>
              <w:top w:val="single" w:sz="4" w:space="0" w:color="auto"/>
              <w:left w:val="single" w:sz="4" w:space="0" w:color="auto"/>
              <w:bottom w:val="single" w:sz="4" w:space="0" w:color="auto"/>
              <w:right w:val="single" w:sz="4" w:space="0" w:color="auto"/>
            </w:tcBorders>
            <w:shd w:val="clear" w:color="auto" w:fill="CCCCCC"/>
            <w:hideMark/>
          </w:tcPr>
          <w:p w14:paraId="0092A1AE" w14:textId="77777777" w:rsidR="00A81DD1" w:rsidRPr="00904CBE" w:rsidRDefault="00A81DD1" w:rsidP="00195740">
            <w:pPr>
              <w:keepNext/>
              <w:overflowPunct w:val="0"/>
              <w:autoSpaceDE w:val="0"/>
              <w:autoSpaceDN w:val="0"/>
              <w:adjustRightInd w:val="0"/>
              <w:spacing w:after="0"/>
              <w:jc w:val="center"/>
              <w:textAlignment w:val="baseline"/>
              <w:rPr>
                <w:rFonts w:ascii="Arial" w:eastAsia="Times New Roman" w:hAnsi="Arial"/>
                <w:b/>
                <w:sz w:val="18"/>
                <w:lang w:eastAsia="x-none" w:bidi="ar-IQ"/>
              </w:rPr>
            </w:pPr>
            <w:r w:rsidRPr="00904CBE">
              <w:rPr>
                <w:rFonts w:ascii="Arial" w:eastAsia="Times New Roman" w:hAnsi="Arial"/>
                <w:b/>
                <w:sz w:val="18"/>
                <w:lang w:eastAsia="x-none" w:bidi="ar-IQ"/>
              </w:rPr>
              <w:t>Description</w:t>
            </w:r>
          </w:p>
        </w:tc>
      </w:tr>
      <w:tr w:rsidR="00B20249" w:rsidRPr="00904CBE" w14:paraId="2C5DC9E9" w14:textId="77777777" w:rsidTr="00195740">
        <w:trPr>
          <w:cantSplit/>
          <w:jc w:val="center"/>
        </w:trPr>
        <w:tc>
          <w:tcPr>
            <w:tcW w:w="2353" w:type="dxa"/>
            <w:tcBorders>
              <w:top w:val="single" w:sz="6" w:space="0" w:color="auto"/>
              <w:left w:val="single" w:sz="6" w:space="0" w:color="auto"/>
              <w:bottom w:val="single" w:sz="6" w:space="0" w:color="auto"/>
              <w:right w:val="single" w:sz="6" w:space="0" w:color="auto"/>
            </w:tcBorders>
            <w:hideMark/>
          </w:tcPr>
          <w:p w14:paraId="0E8002F4" w14:textId="77777777" w:rsidR="00B20249" w:rsidRPr="00904CBE" w:rsidRDefault="00B20249" w:rsidP="00B20249">
            <w:pPr>
              <w:keepNext/>
              <w:keepLines/>
              <w:overflowPunct w:val="0"/>
              <w:autoSpaceDE w:val="0"/>
              <w:autoSpaceDN w:val="0"/>
              <w:adjustRightInd w:val="0"/>
              <w:spacing w:after="0"/>
              <w:textAlignment w:val="baseline"/>
              <w:rPr>
                <w:rFonts w:ascii="Arial" w:eastAsia="Times New Roman" w:hAnsi="Arial" w:cs="Arial"/>
                <w:sz w:val="18"/>
                <w:szCs w:val="18"/>
                <w:lang w:val="x-none" w:bidi="ar-IQ"/>
              </w:rPr>
            </w:pPr>
            <w:r>
              <w:rPr>
                <w:rFonts w:ascii="Arial" w:eastAsia="Times New Roman" w:hAnsi="Arial"/>
                <w:sz w:val="18"/>
                <w:lang w:eastAsia="zh-CN"/>
              </w:rPr>
              <w:t>Correlation information</w:t>
            </w:r>
          </w:p>
        </w:tc>
        <w:tc>
          <w:tcPr>
            <w:tcW w:w="1228" w:type="dxa"/>
            <w:tcBorders>
              <w:top w:val="single" w:sz="6" w:space="0" w:color="auto"/>
              <w:left w:val="single" w:sz="6" w:space="0" w:color="auto"/>
              <w:bottom w:val="single" w:sz="6" w:space="0" w:color="auto"/>
              <w:right w:val="single" w:sz="6" w:space="0" w:color="auto"/>
            </w:tcBorders>
            <w:hideMark/>
          </w:tcPr>
          <w:p w14:paraId="5FFDF63F" w14:textId="77777777" w:rsidR="00B20249" w:rsidRPr="00904CBE" w:rsidRDefault="00B20249" w:rsidP="00B20249">
            <w:pPr>
              <w:keepNext/>
              <w:keepLines/>
              <w:overflowPunct w:val="0"/>
              <w:autoSpaceDE w:val="0"/>
              <w:autoSpaceDN w:val="0"/>
              <w:adjustRightInd w:val="0"/>
              <w:spacing w:after="0"/>
              <w:jc w:val="center"/>
              <w:textAlignment w:val="baseline"/>
              <w:rPr>
                <w:rFonts w:ascii="Arial" w:eastAsia="Times New Roman" w:hAnsi="Arial" w:cs="Arial"/>
                <w:sz w:val="18"/>
                <w:szCs w:val="18"/>
                <w:lang w:val="x-none" w:bidi="ar-IQ"/>
              </w:rPr>
            </w:pPr>
            <w:r w:rsidRPr="004B679B">
              <w:rPr>
                <w:rFonts w:ascii="Arial" w:eastAsia="Times New Roman" w:hAnsi="Arial"/>
                <w:sz w:val="18"/>
                <w:szCs w:val="18"/>
                <w:lang w:bidi="ar-IQ"/>
              </w:rPr>
              <w:t>O</w:t>
            </w:r>
            <w:r w:rsidRPr="004B679B">
              <w:rPr>
                <w:rFonts w:ascii="Arial" w:eastAsia="Times New Roman" w:hAnsi="Arial"/>
                <w:sz w:val="18"/>
                <w:szCs w:val="18"/>
                <w:vertAlign w:val="subscript"/>
                <w:lang w:bidi="ar-IQ"/>
              </w:rPr>
              <w:t>C</w:t>
            </w:r>
          </w:p>
        </w:tc>
        <w:tc>
          <w:tcPr>
            <w:tcW w:w="4782" w:type="dxa"/>
            <w:tcBorders>
              <w:top w:val="single" w:sz="6" w:space="0" w:color="auto"/>
              <w:left w:val="single" w:sz="6" w:space="0" w:color="auto"/>
              <w:bottom w:val="single" w:sz="6" w:space="0" w:color="auto"/>
              <w:right w:val="single" w:sz="6" w:space="0" w:color="auto"/>
            </w:tcBorders>
            <w:hideMark/>
          </w:tcPr>
          <w:p w14:paraId="2CDCC427" w14:textId="23FCCD49" w:rsidR="00B20249" w:rsidRPr="00904CBE" w:rsidRDefault="00B20249" w:rsidP="00B20249">
            <w:pPr>
              <w:keepNext/>
              <w:keepLines/>
              <w:overflowPunct w:val="0"/>
              <w:autoSpaceDE w:val="0"/>
              <w:autoSpaceDN w:val="0"/>
              <w:adjustRightInd w:val="0"/>
              <w:spacing w:after="0"/>
              <w:textAlignment w:val="baseline"/>
              <w:rPr>
                <w:rFonts w:ascii="Arial" w:eastAsia="Times New Roman" w:hAnsi="Arial"/>
                <w:sz w:val="18"/>
                <w:lang w:val="x-none" w:bidi="ar-IQ"/>
              </w:rPr>
            </w:pPr>
            <w:r w:rsidRPr="004B679B">
              <w:rPr>
                <w:rFonts w:ascii="Arial" w:eastAsia="MS Mincho" w:hAnsi="Arial"/>
                <w:sz w:val="18"/>
              </w:rPr>
              <w:t xml:space="preserve">This field contains the </w:t>
            </w:r>
            <w:r>
              <w:rPr>
                <w:rFonts w:ascii="Arial" w:eastAsia="MS Mincho" w:hAnsi="Arial"/>
                <w:sz w:val="18"/>
              </w:rPr>
              <w:t>information on how two requests can be correlated, between events, i.e.</w:t>
            </w:r>
            <w:r>
              <w:rPr>
                <w:rFonts w:ascii="Arial" w:eastAsia="Times New Roman" w:hAnsi="Arial" w:cs="Arial"/>
                <w:sz w:val="18"/>
              </w:rPr>
              <w:t xml:space="preserve"> between IEC and PEC.</w:t>
            </w:r>
          </w:p>
        </w:tc>
      </w:tr>
      <w:tr w:rsidR="00B20249" w:rsidRPr="00904CBE" w14:paraId="5C2C68F5" w14:textId="77777777" w:rsidTr="00195740">
        <w:trPr>
          <w:cantSplit/>
          <w:jc w:val="center"/>
        </w:trPr>
        <w:tc>
          <w:tcPr>
            <w:tcW w:w="2353" w:type="dxa"/>
            <w:tcBorders>
              <w:top w:val="single" w:sz="6" w:space="0" w:color="auto"/>
              <w:left w:val="single" w:sz="6" w:space="0" w:color="auto"/>
              <w:bottom w:val="single" w:sz="6" w:space="0" w:color="auto"/>
              <w:right w:val="single" w:sz="6" w:space="0" w:color="auto"/>
            </w:tcBorders>
            <w:hideMark/>
          </w:tcPr>
          <w:p w14:paraId="2517BCE6" w14:textId="5601B325" w:rsidR="00B20249" w:rsidRPr="00904CBE" w:rsidRDefault="00B20249" w:rsidP="00B20249">
            <w:pPr>
              <w:keepNext/>
              <w:keepLines/>
              <w:overflowPunct w:val="0"/>
              <w:autoSpaceDE w:val="0"/>
              <w:autoSpaceDN w:val="0"/>
              <w:adjustRightInd w:val="0"/>
              <w:spacing w:after="0"/>
              <w:ind w:left="284"/>
              <w:textAlignment w:val="baseline"/>
              <w:rPr>
                <w:rFonts w:ascii="Arial" w:eastAsia="Times New Roman" w:hAnsi="Arial"/>
                <w:sz w:val="18"/>
                <w:lang w:val="x-none"/>
              </w:rPr>
            </w:pPr>
            <w:r>
              <w:rPr>
                <w:rFonts w:ascii="Arial" w:eastAsia="Times New Roman" w:hAnsi="Arial" w:cs="Arial"/>
                <w:sz w:val="18"/>
                <w:szCs w:val="18"/>
              </w:rPr>
              <w:t>Information Element List</w:t>
            </w:r>
          </w:p>
        </w:tc>
        <w:tc>
          <w:tcPr>
            <w:tcW w:w="1228" w:type="dxa"/>
            <w:tcBorders>
              <w:top w:val="single" w:sz="6" w:space="0" w:color="auto"/>
              <w:left w:val="single" w:sz="6" w:space="0" w:color="auto"/>
              <w:bottom w:val="single" w:sz="6" w:space="0" w:color="auto"/>
              <w:right w:val="single" w:sz="6" w:space="0" w:color="auto"/>
            </w:tcBorders>
            <w:hideMark/>
          </w:tcPr>
          <w:p w14:paraId="1AB68173" w14:textId="77777777" w:rsidR="00B20249" w:rsidRPr="00904CBE" w:rsidRDefault="00B20249" w:rsidP="00B20249">
            <w:pPr>
              <w:keepNext/>
              <w:keepLines/>
              <w:overflowPunct w:val="0"/>
              <w:autoSpaceDE w:val="0"/>
              <w:autoSpaceDN w:val="0"/>
              <w:adjustRightInd w:val="0"/>
              <w:spacing w:after="0"/>
              <w:jc w:val="center"/>
              <w:textAlignment w:val="baseline"/>
              <w:rPr>
                <w:rFonts w:ascii="Arial" w:eastAsia="Times New Roman" w:hAnsi="Arial" w:cs="Arial"/>
                <w:sz w:val="18"/>
                <w:szCs w:val="18"/>
                <w:lang w:val="x-none" w:bidi="ar-IQ"/>
              </w:rPr>
            </w:pPr>
            <w:r w:rsidRPr="004B679B">
              <w:rPr>
                <w:rFonts w:ascii="Arial" w:eastAsia="Times New Roman" w:hAnsi="Arial"/>
                <w:sz w:val="18"/>
                <w:szCs w:val="18"/>
              </w:rPr>
              <w:t>O</w:t>
            </w:r>
            <w:r w:rsidRPr="004B679B">
              <w:rPr>
                <w:rFonts w:ascii="Arial" w:eastAsia="Times New Roman" w:hAnsi="Arial"/>
                <w:sz w:val="18"/>
                <w:szCs w:val="18"/>
                <w:vertAlign w:val="subscript"/>
              </w:rPr>
              <w:t>C</w:t>
            </w:r>
          </w:p>
        </w:tc>
        <w:tc>
          <w:tcPr>
            <w:tcW w:w="4782" w:type="dxa"/>
            <w:tcBorders>
              <w:top w:val="single" w:sz="6" w:space="0" w:color="auto"/>
              <w:left w:val="single" w:sz="6" w:space="0" w:color="auto"/>
              <w:bottom w:val="single" w:sz="6" w:space="0" w:color="auto"/>
              <w:right w:val="single" w:sz="6" w:space="0" w:color="auto"/>
            </w:tcBorders>
            <w:hideMark/>
          </w:tcPr>
          <w:p w14:paraId="6690CD9A" w14:textId="523D95D8" w:rsidR="00B20249" w:rsidRPr="00904CBE" w:rsidRDefault="00B20249" w:rsidP="00B20249">
            <w:pPr>
              <w:keepNext/>
              <w:keepLines/>
              <w:overflowPunct w:val="0"/>
              <w:autoSpaceDE w:val="0"/>
              <w:autoSpaceDN w:val="0"/>
              <w:adjustRightInd w:val="0"/>
              <w:spacing w:after="0"/>
              <w:textAlignment w:val="baseline"/>
              <w:rPr>
                <w:rFonts w:ascii="Arial" w:eastAsia="Times New Roman" w:hAnsi="Arial"/>
                <w:sz w:val="18"/>
                <w:lang w:val="x-none" w:bidi="ar-IQ"/>
              </w:rPr>
            </w:pPr>
            <w:r w:rsidRPr="004B679B">
              <w:rPr>
                <w:rFonts w:ascii="Arial" w:eastAsia="Times New Roman" w:hAnsi="Arial"/>
                <w:sz w:val="18"/>
              </w:rPr>
              <w:t xml:space="preserve">This field holds </w:t>
            </w:r>
            <w:r>
              <w:rPr>
                <w:rFonts w:ascii="Arial" w:eastAsia="Times New Roman" w:hAnsi="Arial"/>
                <w:sz w:val="18"/>
              </w:rPr>
              <w:t>a list of information element included in the request that can be used in correlation</w:t>
            </w:r>
            <w:r w:rsidRPr="004B679B">
              <w:rPr>
                <w:rFonts w:ascii="Arial" w:eastAsia="Times New Roman" w:hAnsi="Arial"/>
                <w:sz w:val="18"/>
              </w:rPr>
              <w:t>.</w:t>
            </w:r>
          </w:p>
        </w:tc>
      </w:tr>
      <w:tr w:rsidR="00A81DD1" w:rsidRPr="00904CBE" w14:paraId="13C77D80" w14:textId="77777777" w:rsidTr="00195740">
        <w:trPr>
          <w:cantSplit/>
          <w:jc w:val="center"/>
        </w:trPr>
        <w:tc>
          <w:tcPr>
            <w:tcW w:w="2353" w:type="dxa"/>
            <w:tcBorders>
              <w:top w:val="single" w:sz="6" w:space="0" w:color="auto"/>
              <w:left w:val="single" w:sz="6" w:space="0" w:color="auto"/>
              <w:bottom w:val="single" w:sz="6" w:space="0" w:color="auto"/>
              <w:right w:val="single" w:sz="6" w:space="0" w:color="auto"/>
            </w:tcBorders>
            <w:hideMark/>
          </w:tcPr>
          <w:p w14:paraId="2EC35AF1" w14:textId="77777777" w:rsidR="00A81DD1" w:rsidRPr="00904CBE" w:rsidRDefault="00A81DD1" w:rsidP="00195740">
            <w:pPr>
              <w:keepNext/>
              <w:keepLines/>
              <w:overflowPunct w:val="0"/>
              <w:autoSpaceDE w:val="0"/>
              <w:autoSpaceDN w:val="0"/>
              <w:adjustRightInd w:val="0"/>
              <w:spacing w:after="0"/>
              <w:ind w:left="284"/>
              <w:textAlignment w:val="baseline"/>
              <w:rPr>
                <w:rFonts w:ascii="Arial" w:eastAsia="Times New Roman" w:hAnsi="Arial"/>
                <w:sz w:val="18"/>
                <w:lang w:val="x-none"/>
              </w:rPr>
            </w:pPr>
            <w:r>
              <w:rPr>
                <w:rFonts w:ascii="Arial" w:eastAsia="Times New Roman" w:hAnsi="Arial"/>
                <w:sz w:val="18"/>
              </w:rPr>
              <w:t>Time until next request</w:t>
            </w:r>
          </w:p>
        </w:tc>
        <w:tc>
          <w:tcPr>
            <w:tcW w:w="1228" w:type="dxa"/>
            <w:tcBorders>
              <w:top w:val="single" w:sz="6" w:space="0" w:color="auto"/>
              <w:left w:val="single" w:sz="6" w:space="0" w:color="auto"/>
              <w:bottom w:val="single" w:sz="6" w:space="0" w:color="auto"/>
              <w:right w:val="single" w:sz="6" w:space="0" w:color="auto"/>
            </w:tcBorders>
            <w:hideMark/>
          </w:tcPr>
          <w:p w14:paraId="1784A486" w14:textId="77777777" w:rsidR="00A81DD1" w:rsidRPr="00904CBE" w:rsidRDefault="00A81DD1" w:rsidP="00195740">
            <w:pPr>
              <w:keepNext/>
              <w:keepLines/>
              <w:overflowPunct w:val="0"/>
              <w:autoSpaceDE w:val="0"/>
              <w:autoSpaceDN w:val="0"/>
              <w:adjustRightInd w:val="0"/>
              <w:spacing w:after="0"/>
              <w:jc w:val="center"/>
              <w:textAlignment w:val="baseline"/>
              <w:rPr>
                <w:rFonts w:ascii="Arial" w:eastAsia="Times New Roman" w:hAnsi="Arial" w:cs="Arial"/>
                <w:sz w:val="18"/>
                <w:szCs w:val="18"/>
                <w:lang w:val="x-none" w:bidi="ar-IQ"/>
              </w:rPr>
            </w:pPr>
            <w:r w:rsidRPr="004B679B">
              <w:rPr>
                <w:rFonts w:ascii="Arial" w:eastAsia="Times New Roman" w:hAnsi="Arial"/>
                <w:sz w:val="18"/>
                <w:lang w:eastAsia="zh-CN"/>
              </w:rPr>
              <w:t>O</w:t>
            </w:r>
            <w:r w:rsidRPr="004B679B">
              <w:rPr>
                <w:rFonts w:ascii="Arial" w:eastAsia="Times New Roman" w:hAnsi="Arial"/>
                <w:sz w:val="18"/>
                <w:vertAlign w:val="subscript"/>
                <w:lang w:eastAsia="zh-CN"/>
              </w:rPr>
              <w:t>C</w:t>
            </w:r>
          </w:p>
        </w:tc>
        <w:tc>
          <w:tcPr>
            <w:tcW w:w="4782" w:type="dxa"/>
            <w:tcBorders>
              <w:top w:val="single" w:sz="6" w:space="0" w:color="auto"/>
              <w:left w:val="single" w:sz="6" w:space="0" w:color="auto"/>
              <w:bottom w:val="single" w:sz="6" w:space="0" w:color="auto"/>
              <w:right w:val="single" w:sz="6" w:space="0" w:color="auto"/>
            </w:tcBorders>
            <w:hideMark/>
          </w:tcPr>
          <w:p w14:paraId="56A85B68" w14:textId="77777777" w:rsidR="00A81DD1" w:rsidRPr="00904CBE" w:rsidRDefault="00A81DD1" w:rsidP="00195740">
            <w:pPr>
              <w:keepNext/>
              <w:keepLines/>
              <w:overflowPunct w:val="0"/>
              <w:autoSpaceDE w:val="0"/>
              <w:autoSpaceDN w:val="0"/>
              <w:adjustRightInd w:val="0"/>
              <w:spacing w:after="0"/>
              <w:textAlignment w:val="baseline"/>
              <w:rPr>
                <w:rFonts w:ascii="Arial" w:eastAsia="Times New Roman" w:hAnsi="Arial"/>
                <w:sz w:val="18"/>
                <w:lang w:val="x-none" w:bidi="ar-IQ"/>
              </w:rPr>
            </w:pPr>
            <w:r w:rsidRPr="004B679B">
              <w:rPr>
                <w:rFonts w:ascii="Arial" w:eastAsia="Times New Roman" w:hAnsi="Arial"/>
                <w:sz w:val="18"/>
              </w:rPr>
              <w:t xml:space="preserve">This field holds the </w:t>
            </w:r>
            <w:r>
              <w:rPr>
                <w:rFonts w:ascii="Arial" w:eastAsia="Times New Roman" w:hAnsi="Arial"/>
                <w:sz w:val="18"/>
              </w:rPr>
              <w:t xml:space="preserve">maximum </w:t>
            </w:r>
            <w:r w:rsidRPr="004B679B">
              <w:rPr>
                <w:rFonts w:ascii="Arial" w:eastAsia="Times New Roman" w:hAnsi="Arial"/>
                <w:sz w:val="18"/>
              </w:rPr>
              <w:t>amount of time</w:t>
            </w:r>
            <w:r>
              <w:rPr>
                <w:rFonts w:ascii="Arial" w:eastAsia="Times New Roman" w:hAnsi="Arial"/>
                <w:sz w:val="18"/>
              </w:rPr>
              <w:t xml:space="preserve"> between the requests that can be correlated</w:t>
            </w:r>
            <w:r w:rsidRPr="004B679B">
              <w:rPr>
                <w:rFonts w:ascii="Arial" w:eastAsia="Times New Roman" w:hAnsi="Arial"/>
                <w:sz w:val="18"/>
              </w:rPr>
              <w:t>.</w:t>
            </w:r>
          </w:p>
        </w:tc>
      </w:tr>
    </w:tbl>
    <w:p w14:paraId="1DFAEBF4" w14:textId="77777777" w:rsidR="00A81DD1" w:rsidRDefault="00A81DD1">
      <w:pPr>
        <w:rPr>
          <w:iCs/>
        </w:rPr>
      </w:pPr>
    </w:p>
    <w:p w14:paraId="4A696B63" w14:textId="63128529" w:rsidR="003551E7" w:rsidRPr="00D50B6A" w:rsidRDefault="003551E7">
      <w:pPr>
        <w:rPr>
          <w:iCs/>
        </w:rPr>
      </w:pPr>
      <w:r>
        <w:rPr>
          <w:iCs/>
        </w:rPr>
        <w:t xml:space="preserve">This “Time until next request” will tell the CHF that if it hasn’t received a PEC within this </w:t>
      </w:r>
      <w:r w:rsidR="00614310">
        <w:rPr>
          <w:iCs/>
        </w:rPr>
        <w:t>time,</w:t>
      </w:r>
      <w:r>
        <w:rPr>
          <w:iCs/>
        </w:rPr>
        <w:t xml:space="preserve"> it shall consider the IEC as failed</w:t>
      </w:r>
      <w:r w:rsidR="00DE7C7A">
        <w:rPr>
          <w:iCs/>
        </w:rPr>
        <w:t>. If the</w:t>
      </w:r>
      <w:r w:rsidR="00F80528">
        <w:rPr>
          <w:iCs/>
        </w:rPr>
        <w:t xml:space="preserve"> PEC </w:t>
      </w:r>
      <w:r w:rsidR="00DE7C7A">
        <w:rPr>
          <w:iCs/>
        </w:rPr>
        <w:t xml:space="preserve">is received this </w:t>
      </w:r>
      <w:r w:rsidR="00F80528">
        <w:rPr>
          <w:iCs/>
        </w:rPr>
        <w:t>will include the information of service delivery.</w:t>
      </w:r>
    </w:p>
    <w:sectPr w:rsidR="003551E7" w:rsidRPr="00D50B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A47E2" w14:textId="77777777" w:rsidR="00EC0600" w:rsidRDefault="00EC0600">
      <w:r>
        <w:separator/>
      </w:r>
    </w:p>
  </w:endnote>
  <w:endnote w:type="continuationSeparator" w:id="0">
    <w:p w14:paraId="3D706BBC" w14:textId="77777777" w:rsidR="00EC0600" w:rsidRDefault="00EC0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A3037" w14:textId="77777777" w:rsidR="00EC0600" w:rsidRDefault="00EC0600">
      <w:r>
        <w:separator/>
      </w:r>
    </w:p>
  </w:footnote>
  <w:footnote w:type="continuationSeparator" w:id="0">
    <w:p w14:paraId="0C49B46E" w14:textId="77777777" w:rsidR="00EC0600" w:rsidRDefault="00EC0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92B"/>
    <w:rsid w:val="00012515"/>
    <w:rsid w:val="0002249F"/>
    <w:rsid w:val="000230A3"/>
    <w:rsid w:val="00025B17"/>
    <w:rsid w:val="00027ABF"/>
    <w:rsid w:val="0003262B"/>
    <w:rsid w:val="00032F0F"/>
    <w:rsid w:val="0004202D"/>
    <w:rsid w:val="00042EB0"/>
    <w:rsid w:val="00046389"/>
    <w:rsid w:val="000659A8"/>
    <w:rsid w:val="00074722"/>
    <w:rsid w:val="0008083D"/>
    <w:rsid w:val="000819D8"/>
    <w:rsid w:val="00085D0B"/>
    <w:rsid w:val="000934A6"/>
    <w:rsid w:val="0009787D"/>
    <w:rsid w:val="000A2C6C"/>
    <w:rsid w:val="000A4660"/>
    <w:rsid w:val="000A6356"/>
    <w:rsid w:val="000B61B3"/>
    <w:rsid w:val="000C441F"/>
    <w:rsid w:val="000C604A"/>
    <w:rsid w:val="000D1B5B"/>
    <w:rsid w:val="000D1BB4"/>
    <w:rsid w:val="000E0949"/>
    <w:rsid w:val="000E626A"/>
    <w:rsid w:val="00103984"/>
    <w:rsid w:val="0010401F"/>
    <w:rsid w:val="00112FC3"/>
    <w:rsid w:val="001343B4"/>
    <w:rsid w:val="00140FC7"/>
    <w:rsid w:val="00141C1A"/>
    <w:rsid w:val="00143268"/>
    <w:rsid w:val="00143B41"/>
    <w:rsid w:val="00147E06"/>
    <w:rsid w:val="0015785C"/>
    <w:rsid w:val="00173FA3"/>
    <w:rsid w:val="00184B6F"/>
    <w:rsid w:val="00185638"/>
    <w:rsid w:val="001861E5"/>
    <w:rsid w:val="0019426B"/>
    <w:rsid w:val="001969DA"/>
    <w:rsid w:val="00197930"/>
    <w:rsid w:val="001A4EFA"/>
    <w:rsid w:val="001B1652"/>
    <w:rsid w:val="001B2D88"/>
    <w:rsid w:val="001B6E06"/>
    <w:rsid w:val="001C3EC8"/>
    <w:rsid w:val="001D247F"/>
    <w:rsid w:val="001D2BD4"/>
    <w:rsid w:val="001D4258"/>
    <w:rsid w:val="001D4787"/>
    <w:rsid w:val="001D6911"/>
    <w:rsid w:val="001E4833"/>
    <w:rsid w:val="001E750F"/>
    <w:rsid w:val="001F27CE"/>
    <w:rsid w:val="001F487C"/>
    <w:rsid w:val="001F6A38"/>
    <w:rsid w:val="00201769"/>
    <w:rsid w:val="00201947"/>
    <w:rsid w:val="0020395B"/>
    <w:rsid w:val="002046CB"/>
    <w:rsid w:val="00204DC9"/>
    <w:rsid w:val="002062C0"/>
    <w:rsid w:val="00210F07"/>
    <w:rsid w:val="00212C47"/>
    <w:rsid w:val="00215130"/>
    <w:rsid w:val="0021620F"/>
    <w:rsid w:val="00217D16"/>
    <w:rsid w:val="00222278"/>
    <w:rsid w:val="0022335A"/>
    <w:rsid w:val="00230002"/>
    <w:rsid w:val="002374E8"/>
    <w:rsid w:val="00244C9A"/>
    <w:rsid w:val="00247216"/>
    <w:rsid w:val="00256CFD"/>
    <w:rsid w:val="00260810"/>
    <w:rsid w:val="0026221C"/>
    <w:rsid w:val="00266700"/>
    <w:rsid w:val="00271B05"/>
    <w:rsid w:val="00274477"/>
    <w:rsid w:val="00275E38"/>
    <w:rsid w:val="00283BA1"/>
    <w:rsid w:val="0028689D"/>
    <w:rsid w:val="0029594A"/>
    <w:rsid w:val="002A1857"/>
    <w:rsid w:val="002A7720"/>
    <w:rsid w:val="002B032A"/>
    <w:rsid w:val="002B274D"/>
    <w:rsid w:val="002C7F38"/>
    <w:rsid w:val="002D0C96"/>
    <w:rsid w:val="002D29BB"/>
    <w:rsid w:val="002D5409"/>
    <w:rsid w:val="002D69EA"/>
    <w:rsid w:val="002E60AD"/>
    <w:rsid w:val="002F173E"/>
    <w:rsid w:val="002F6D97"/>
    <w:rsid w:val="003017C0"/>
    <w:rsid w:val="0030628A"/>
    <w:rsid w:val="003070A4"/>
    <w:rsid w:val="0032242B"/>
    <w:rsid w:val="00327C7B"/>
    <w:rsid w:val="0033019D"/>
    <w:rsid w:val="0035122B"/>
    <w:rsid w:val="00353451"/>
    <w:rsid w:val="003551E7"/>
    <w:rsid w:val="003555B8"/>
    <w:rsid w:val="003573C8"/>
    <w:rsid w:val="0036060A"/>
    <w:rsid w:val="003612BE"/>
    <w:rsid w:val="00365672"/>
    <w:rsid w:val="00365C2F"/>
    <w:rsid w:val="00370BB1"/>
    <w:rsid w:val="00371032"/>
    <w:rsid w:val="00371B44"/>
    <w:rsid w:val="00387557"/>
    <w:rsid w:val="003C122B"/>
    <w:rsid w:val="003C4713"/>
    <w:rsid w:val="003C5A97"/>
    <w:rsid w:val="003C7A04"/>
    <w:rsid w:val="003D095A"/>
    <w:rsid w:val="003D18EB"/>
    <w:rsid w:val="003D546B"/>
    <w:rsid w:val="003D6069"/>
    <w:rsid w:val="003E1BAD"/>
    <w:rsid w:val="003E7281"/>
    <w:rsid w:val="003F336B"/>
    <w:rsid w:val="003F3DA6"/>
    <w:rsid w:val="003F52B2"/>
    <w:rsid w:val="00400CDA"/>
    <w:rsid w:val="0041632F"/>
    <w:rsid w:val="0042090C"/>
    <w:rsid w:val="0043042C"/>
    <w:rsid w:val="00440414"/>
    <w:rsid w:val="00451E87"/>
    <w:rsid w:val="004558E9"/>
    <w:rsid w:val="0045777E"/>
    <w:rsid w:val="004776C7"/>
    <w:rsid w:val="00490C94"/>
    <w:rsid w:val="004914DC"/>
    <w:rsid w:val="004A409A"/>
    <w:rsid w:val="004B3753"/>
    <w:rsid w:val="004B540C"/>
    <w:rsid w:val="004C025D"/>
    <w:rsid w:val="004C24A1"/>
    <w:rsid w:val="004C31D2"/>
    <w:rsid w:val="004C37BB"/>
    <w:rsid w:val="004D1D86"/>
    <w:rsid w:val="004D55C2"/>
    <w:rsid w:val="004E2291"/>
    <w:rsid w:val="004E700D"/>
    <w:rsid w:val="004F5A0A"/>
    <w:rsid w:val="00504504"/>
    <w:rsid w:val="00512B6F"/>
    <w:rsid w:val="00520AF4"/>
    <w:rsid w:val="00521131"/>
    <w:rsid w:val="00521345"/>
    <w:rsid w:val="00527C0B"/>
    <w:rsid w:val="005303AF"/>
    <w:rsid w:val="005321CF"/>
    <w:rsid w:val="00536FC6"/>
    <w:rsid w:val="005410F6"/>
    <w:rsid w:val="00546981"/>
    <w:rsid w:val="0055412D"/>
    <w:rsid w:val="005706FE"/>
    <w:rsid w:val="005729C4"/>
    <w:rsid w:val="00577BC6"/>
    <w:rsid w:val="005837D3"/>
    <w:rsid w:val="0058493B"/>
    <w:rsid w:val="00585545"/>
    <w:rsid w:val="0059227B"/>
    <w:rsid w:val="005A2AEA"/>
    <w:rsid w:val="005A5503"/>
    <w:rsid w:val="005B0966"/>
    <w:rsid w:val="005B4319"/>
    <w:rsid w:val="005B795D"/>
    <w:rsid w:val="005C11FC"/>
    <w:rsid w:val="005C3F28"/>
    <w:rsid w:val="005C4B44"/>
    <w:rsid w:val="005D3D60"/>
    <w:rsid w:val="005D573D"/>
    <w:rsid w:val="005E45AA"/>
    <w:rsid w:val="005E47AD"/>
    <w:rsid w:val="005E6942"/>
    <w:rsid w:val="006030F8"/>
    <w:rsid w:val="00610508"/>
    <w:rsid w:val="00613820"/>
    <w:rsid w:val="00613A0F"/>
    <w:rsid w:val="00614310"/>
    <w:rsid w:val="00617A62"/>
    <w:rsid w:val="00623F12"/>
    <w:rsid w:val="0064154B"/>
    <w:rsid w:val="00642DA9"/>
    <w:rsid w:val="00643902"/>
    <w:rsid w:val="00645C90"/>
    <w:rsid w:val="00646B2A"/>
    <w:rsid w:val="00652248"/>
    <w:rsid w:val="00657209"/>
    <w:rsid w:val="00657B80"/>
    <w:rsid w:val="00660146"/>
    <w:rsid w:val="00667E81"/>
    <w:rsid w:val="00675B3C"/>
    <w:rsid w:val="00675D79"/>
    <w:rsid w:val="00680161"/>
    <w:rsid w:val="0069495C"/>
    <w:rsid w:val="006D340A"/>
    <w:rsid w:val="006D5884"/>
    <w:rsid w:val="00707D0B"/>
    <w:rsid w:val="00715514"/>
    <w:rsid w:val="00715A1D"/>
    <w:rsid w:val="007211B3"/>
    <w:rsid w:val="00723AC4"/>
    <w:rsid w:val="00753816"/>
    <w:rsid w:val="00756179"/>
    <w:rsid w:val="007577C8"/>
    <w:rsid w:val="00760BB0"/>
    <w:rsid w:val="0076157A"/>
    <w:rsid w:val="00767050"/>
    <w:rsid w:val="00784593"/>
    <w:rsid w:val="007908C3"/>
    <w:rsid w:val="007A00EF"/>
    <w:rsid w:val="007A4EB3"/>
    <w:rsid w:val="007B19EA"/>
    <w:rsid w:val="007B526D"/>
    <w:rsid w:val="007C0A2D"/>
    <w:rsid w:val="007C20E6"/>
    <w:rsid w:val="007C27B0"/>
    <w:rsid w:val="007C3B49"/>
    <w:rsid w:val="007D3329"/>
    <w:rsid w:val="007D6B47"/>
    <w:rsid w:val="007E5DE6"/>
    <w:rsid w:val="007F300B"/>
    <w:rsid w:val="008014C3"/>
    <w:rsid w:val="008100AC"/>
    <w:rsid w:val="00812587"/>
    <w:rsid w:val="00812CC1"/>
    <w:rsid w:val="0081614A"/>
    <w:rsid w:val="0082443C"/>
    <w:rsid w:val="00827FA3"/>
    <w:rsid w:val="00833A74"/>
    <w:rsid w:val="008360C7"/>
    <w:rsid w:val="00850812"/>
    <w:rsid w:val="00852A0A"/>
    <w:rsid w:val="008541C2"/>
    <w:rsid w:val="0086133B"/>
    <w:rsid w:val="00871F5F"/>
    <w:rsid w:val="00876B9A"/>
    <w:rsid w:val="00881E9A"/>
    <w:rsid w:val="00886CBD"/>
    <w:rsid w:val="008933BF"/>
    <w:rsid w:val="008A10C4"/>
    <w:rsid w:val="008B0248"/>
    <w:rsid w:val="008B1C2A"/>
    <w:rsid w:val="008B307E"/>
    <w:rsid w:val="008B57C4"/>
    <w:rsid w:val="008D191D"/>
    <w:rsid w:val="008E7FB0"/>
    <w:rsid w:val="008F2C9F"/>
    <w:rsid w:val="008F5F33"/>
    <w:rsid w:val="00904CBE"/>
    <w:rsid w:val="0090576B"/>
    <w:rsid w:val="0091046A"/>
    <w:rsid w:val="00910595"/>
    <w:rsid w:val="0091206F"/>
    <w:rsid w:val="00914E0B"/>
    <w:rsid w:val="00926ABD"/>
    <w:rsid w:val="0093053F"/>
    <w:rsid w:val="0094282A"/>
    <w:rsid w:val="00947AE6"/>
    <w:rsid w:val="00947F4E"/>
    <w:rsid w:val="00951240"/>
    <w:rsid w:val="00966D47"/>
    <w:rsid w:val="00987F8F"/>
    <w:rsid w:val="009922EB"/>
    <w:rsid w:val="00992312"/>
    <w:rsid w:val="009930B2"/>
    <w:rsid w:val="009A3B6D"/>
    <w:rsid w:val="009C0DED"/>
    <w:rsid w:val="009E4341"/>
    <w:rsid w:val="009F4F2F"/>
    <w:rsid w:val="009F5DDB"/>
    <w:rsid w:val="00A004B4"/>
    <w:rsid w:val="00A11B06"/>
    <w:rsid w:val="00A20ED6"/>
    <w:rsid w:val="00A37D7F"/>
    <w:rsid w:val="00A46410"/>
    <w:rsid w:val="00A57688"/>
    <w:rsid w:val="00A6313B"/>
    <w:rsid w:val="00A65C9C"/>
    <w:rsid w:val="00A74CA1"/>
    <w:rsid w:val="00A81DD1"/>
    <w:rsid w:val="00A842E9"/>
    <w:rsid w:val="00A84A94"/>
    <w:rsid w:val="00A92B8D"/>
    <w:rsid w:val="00A940AF"/>
    <w:rsid w:val="00AB0D18"/>
    <w:rsid w:val="00AD0F09"/>
    <w:rsid w:val="00AD1DAA"/>
    <w:rsid w:val="00AD3030"/>
    <w:rsid w:val="00AE2CB2"/>
    <w:rsid w:val="00AF1E23"/>
    <w:rsid w:val="00AF7F81"/>
    <w:rsid w:val="00B01AFF"/>
    <w:rsid w:val="00B03CB5"/>
    <w:rsid w:val="00B05CC7"/>
    <w:rsid w:val="00B075F0"/>
    <w:rsid w:val="00B20249"/>
    <w:rsid w:val="00B211D2"/>
    <w:rsid w:val="00B27E39"/>
    <w:rsid w:val="00B27EC4"/>
    <w:rsid w:val="00B34F69"/>
    <w:rsid w:val="00B350D8"/>
    <w:rsid w:val="00B37587"/>
    <w:rsid w:val="00B40DF5"/>
    <w:rsid w:val="00B54DC1"/>
    <w:rsid w:val="00B76763"/>
    <w:rsid w:val="00B7732B"/>
    <w:rsid w:val="00B879F0"/>
    <w:rsid w:val="00BA24F6"/>
    <w:rsid w:val="00BA634C"/>
    <w:rsid w:val="00BB306A"/>
    <w:rsid w:val="00BB77DA"/>
    <w:rsid w:val="00BC25AA"/>
    <w:rsid w:val="00BC6516"/>
    <w:rsid w:val="00BE2AFB"/>
    <w:rsid w:val="00BE3064"/>
    <w:rsid w:val="00BE37D7"/>
    <w:rsid w:val="00BF2D0D"/>
    <w:rsid w:val="00BF682E"/>
    <w:rsid w:val="00C022E3"/>
    <w:rsid w:val="00C054C7"/>
    <w:rsid w:val="00C0743B"/>
    <w:rsid w:val="00C13B78"/>
    <w:rsid w:val="00C22D17"/>
    <w:rsid w:val="00C26BB2"/>
    <w:rsid w:val="00C37097"/>
    <w:rsid w:val="00C41084"/>
    <w:rsid w:val="00C43156"/>
    <w:rsid w:val="00C44373"/>
    <w:rsid w:val="00C4712D"/>
    <w:rsid w:val="00C555C9"/>
    <w:rsid w:val="00C5722F"/>
    <w:rsid w:val="00C61BB0"/>
    <w:rsid w:val="00C62B4D"/>
    <w:rsid w:val="00C8295F"/>
    <w:rsid w:val="00C82A3A"/>
    <w:rsid w:val="00C9137B"/>
    <w:rsid w:val="00C94F55"/>
    <w:rsid w:val="00C965E2"/>
    <w:rsid w:val="00C979DC"/>
    <w:rsid w:val="00CA2007"/>
    <w:rsid w:val="00CA4BA1"/>
    <w:rsid w:val="00CA7D62"/>
    <w:rsid w:val="00CB07A8"/>
    <w:rsid w:val="00CC1106"/>
    <w:rsid w:val="00CC375C"/>
    <w:rsid w:val="00CC7906"/>
    <w:rsid w:val="00CC791E"/>
    <w:rsid w:val="00CD1A8D"/>
    <w:rsid w:val="00CD46D5"/>
    <w:rsid w:val="00CD4A57"/>
    <w:rsid w:val="00CE7ECE"/>
    <w:rsid w:val="00CF74E2"/>
    <w:rsid w:val="00D045E8"/>
    <w:rsid w:val="00D04DCA"/>
    <w:rsid w:val="00D10957"/>
    <w:rsid w:val="00D146F1"/>
    <w:rsid w:val="00D301E3"/>
    <w:rsid w:val="00D33604"/>
    <w:rsid w:val="00D35754"/>
    <w:rsid w:val="00D37B08"/>
    <w:rsid w:val="00D41F98"/>
    <w:rsid w:val="00D437FF"/>
    <w:rsid w:val="00D50B6A"/>
    <w:rsid w:val="00D5130C"/>
    <w:rsid w:val="00D60894"/>
    <w:rsid w:val="00D62265"/>
    <w:rsid w:val="00D6586C"/>
    <w:rsid w:val="00D659CC"/>
    <w:rsid w:val="00D73770"/>
    <w:rsid w:val="00D8512E"/>
    <w:rsid w:val="00D952AE"/>
    <w:rsid w:val="00DA1E58"/>
    <w:rsid w:val="00DB5A94"/>
    <w:rsid w:val="00DB75B8"/>
    <w:rsid w:val="00DB7684"/>
    <w:rsid w:val="00DC1055"/>
    <w:rsid w:val="00DE4EF2"/>
    <w:rsid w:val="00DE7C7A"/>
    <w:rsid w:val="00DF0F93"/>
    <w:rsid w:val="00DF2C0E"/>
    <w:rsid w:val="00E036E7"/>
    <w:rsid w:val="00E04DB6"/>
    <w:rsid w:val="00E06FFB"/>
    <w:rsid w:val="00E24DF5"/>
    <w:rsid w:val="00E26201"/>
    <w:rsid w:val="00E262FD"/>
    <w:rsid w:val="00E26AB6"/>
    <w:rsid w:val="00E30155"/>
    <w:rsid w:val="00E4423D"/>
    <w:rsid w:val="00E64FDE"/>
    <w:rsid w:val="00E651A0"/>
    <w:rsid w:val="00E73333"/>
    <w:rsid w:val="00E771F4"/>
    <w:rsid w:val="00E836C6"/>
    <w:rsid w:val="00E87294"/>
    <w:rsid w:val="00E91FE1"/>
    <w:rsid w:val="00E92925"/>
    <w:rsid w:val="00EA22DF"/>
    <w:rsid w:val="00EA5E95"/>
    <w:rsid w:val="00EA7A0E"/>
    <w:rsid w:val="00EC0600"/>
    <w:rsid w:val="00EC1154"/>
    <w:rsid w:val="00EC2924"/>
    <w:rsid w:val="00EC380C"/>
    <w:rsid w:val="00ED4954"/>
    <w:rsid w:val="00ED5A43"/>
    <w:rsid w:val="00ED73BD"/>
    <w:rsid w:val="00EE0943"/>
    <w:rsid w:val="00EE33A2"/>
    <w:rsid w:val="00EE769E"/>
    <w:rsid w:val="00F06BD4"/>
    <w:rsid w:val="00F21C75"/>
    <w:rsid w:val="00F22406"/>
    <w:rsid w:val="00F26FD6"/>
    <w:rsid w:val="00F36A3F"/>
    <w:rsid w:val="00F456F3"/>
    <w:rsid w:val="00F46E5A"/>
    <w:rsid w:val="00F526B6"/>
    <w:rsid w:val="00F57D1B"/>
    <w:rsid w:val="00F60305"/>
    <w:rsid w:val="00F646D9"/>
    <w:rsid w:val="00F66450"/>
    <w:rsid w:val="00F66C59"/>
    <w:rsid w:val="00F67A1C"/>
    <w:rsid w:val="00F74F44"/>
    <w:rsid w:val="00F80528"/>
    <w:rsid w:val="00F82C5B"/>
    <w:rsid w:val="00F85325"/>
    <w:rsid w:val="00F8555F"/>
    <w:rsid w:val="00F91D79"/>
    <w:rsid w:val="00FA38DD"/>
    <w:rsid w:val="00FA5DA3"/>
    <w:rsid w:val="00FB0B3F"/>
    <w:rsid w:val="00FB3E36"/>
    <w:rsid w:val="00FC29A8"/>
    <w:rsid w:val="00FC602A"/>
    <w:rsid w:val="00FD14A7"/>
    <w:rsid w:val="00FD58E8"/>
    <w:rsid w:val="00FE0A18"/>
    <w:rsid w:val="00FE6F70"/>
    <w:rsid w:val="00FF4910"/>
    <w:rsid w:val="00FF4A48"/>
    <w:rsid w:val="726EFE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CF74E2"/>
    <w:rPr>
      <w:rFonts w:ascii="Arial" w:hAnsi="Arial"/>
      <w:sz w:val="32"/>
      <w:lang w:eastAsia="en-US"/>
    </w:rPr>
  </w:style>
  <w:style w:type="character" w:customStyle="1" w:styleId="Heading3Char">
    <w:name w:val="Heading 3 Char"/>
    <w:aliases w:val="h3 Char"/>
    <w:basedOn w:val="DefaultParagraphFont"/>
    <w:link w:val="Heading3"/>
    <w:rsid w:val="00833A7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1052</Words>
  <Characters>6001</Characters>
  <Application>Microsoft Office Word</Application>
  <DocSecurity>0</DocSecurity>
  <Lines>50</Lines>
  <Paragraphs>14</Paragraphs>
  <ScaleCrop>false</ScaleCrop>
  <Company>3GPP Support Team</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284</cp:revision>
  <cp:lastPrinted>1899-12-31T23:00:00Z</cp:lastPrinted>
  <dcterms:created xsi:type="dcterms:W3CDTF">2024-10-02T03:21:00Z</dcterms:created>
  <dcterms:modified xsi:type="dcterms:W3CDTF">2024-11-08T18:00:00Z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